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仿宋_GB2312"/>
          <w:color w:val="000000"/>
          <w:sz w:val="32"/>
        </w:rPr>
      </w:pPr>
      <w:bookmarkStart w:id="0" w:name="_GoBack"/>
      <w:bookmarkEnd w:id="0"/>
    </w:p>
    <w:p>
      <w:pPr>
        <w:spacing w:line="560" w:lineRule="exact"/>
        <w:ind w:firstLine="640" w:firstLineChars="200"/>
        <w:rPr>
          <w:rFonts w:ascii="仿宋_GB2312" w:eastAsia="仿宋_GB2312"/>
          <w:color w:val="000000"/>
          <w:sz w:val="32"/>
        </w:rPr>
      </w:pPr>
    </w:p>
    <w:p>
      <w:pPr>
        <w:spacing w:line="560" w:lineRule="exact"/>
        <w:ind w:firstLine="640" w:firstLineChars="200"/>
        <w:rPr>
          <w:rFonts w:ascii="仿宋_GB2312" w:eastAsia="仿宋_GB2312"/>
          <w:color w:val="000000"/>
          <w:sz w:val="32"/>
        </w:rPr>
      </w:pPr>
    </w:p>
    <w:p>
      <w:pPr>
        <w:spacing w:line="560" w:lineRule="exact"/>
        <w:rPr>
          <w:rFonts w:ascii="仿宋_GB2312" w:eastAsia="仿宋_GB2312"/>
          <w:color w:val="000000"/>
          <w:sz w:val="32"/>
        </w:rPr>
      </w:pPr>
    </w:p>
    <w:p>
      <w:pPr>
        <w:spacing w:line="560" w:lineRule="exact"/>
        <w:ind w:firstLine="160" w:firstLineChars="50"/>
        <w:jc w:val="center"/>
        <w:rPr>
          <w:rFonts w:ascii="仿宋_GB2312" w:eastAsia="仿宋_GB2312"/>
          <w:color w:val="000000"/>
          <w:sz w:val="32"/>
        </w:rPr>
      </w:pPr>
      <w:r>
        <w:rPr>
          <w:rFonts w:hint="eastAsia" w:ascii="仿宋_GB2312" w:eastAsia="仿宋_GB2312"/>
          <w:color w:val="000000"/>
          <w:sz w:val="32"/>
        </w:rPr>
        <w:t xml:space="preserve">          </w:t>
      </w:r>
    </w:p>
    <w:p>
      <w:pPr>
        <w:spacing w:line="560" w:lineRule="exact"/>
        <w:ind w:firstLine="160" w:firstLineChars="50"/>
        <w:jc w:val="center"/>
        <w:rPr>
          <w:rFonts w:ascii="仿宋_GB2312" w:eastAsia="仿宋_GB2312"/>
          <w:color w:val="000000"/>
          <w:sz w:val="32"/>
        </w:rPr>
      </w:pPr>
    </w:p>
    <w:p>
      <w:pPr>
        <w:spacing w:line="560" w:lineRule="exact"/>
        <w:ind w:firstLine="160" w:firstLineChars="50"/>
        <w:jc w:val="center"/>
        <w:rPr>
          <w:rFonts w:ascii="仿宋_GB2312" w:eastAsia="仿宋_GB2312"/>
          <w:color w:val="000000"/>
          <w:sz w:val="32"/>
        </w:rPr>
      </w:pPr>
      <w:r>
        <w:rPr>
          <w:rFonts w:hint="eastAsia" w:ascii="仿宋_GB2312" w:eastAsia="仿宋_GB2312"/>
          <w:color w:val="000000"/>
          <w:sz w:val="32"/>
        </w:rPr>
        <w:t xml:space="preserve">                              甘统计函〔2022〕</w:t>
      </w:r>
      <w:r>
        <w:rPr>
          <w:rFonts w:hint="eastAsia" w:ascii="仿宋_GB2312" w:eastAsia="仿宋_GB2312"/>
          <w:color w:val="000000"/>
          <w:sz w:val="32"/>
          <w:lang w:val="en-US" w:eastAsia="zh-CN"/>
        </w:rPr>
        <w:t>25</w:t>
      </w:r>
      <w:r>
        <w:rPr>
          <w:rFonts w:hint="eastAsia" w:ascii="仿宋_GB2312" w:eastAsia="仿宋_GB2312"/>
          <w:color w:val="000000"/>
          <w:sz w:val="32"/>
        </w:rPr>
        <w:t>号</w:t>
      </w:r>
    </w:p>
    <w:p>
      <w:pPr>
        <w:spacing w:line="560" w:lineRule="exact"/>
        <w:rPr>
          <w:rFonts w:ascii="方正小标宋简体" w:hAnsi="方正小标宋简体" w:eastAsia="方正小标宋简体" w:cs="方正小标宋简体"/>
          <w:b/>
          <w:color w:val="000000"/>
          <w:sz w:val="44"/>
          <w:szCs w:val="44"/>
        </w:rPr>
      </w:pPr>
    </w:p>
    <w:p>
      <w:pPr>
        <w:widowControl/>
        <w:jc w:val="left"/>
        <w:rPr>
          <w:rFonts w:ascii="宋体" w:hAnsi="宋体" w:cs="宋体"/>
          <w:color w:val="000000"/>
          <w:kern w:val="0"/>
          <w:sz w:val="24"/>
          <w:szCs w:val="24"/>
        </w:rPr>
      </w:pPr>
    </w:p>
    <w:p>
      <w:pPr>
        <w:spacing w:line="560" w:lineRule="exact"/>
        <w:jc w:val="center"/>
        <w:rPr>
          <w:rFonts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32"/>
        </w:rPr>
        <w:t>甘孜藏族自治州统计局</w:t>
      </w:r>
    </w:p>
    <w:p>
      <w:pPr>
        <w:spacing w:line="620" w:lineRule="exact"/>
        <w:jc w:val="center"/>
        <w:rPr>
          <w:rFonts w:ascii="方正小标宋简体" w:hAnsi="宋体" w:eastAsia="方正小标宋简体"/>
          <w:sz w:val="44"/>
          <w:szCs w:val="44"/>
        </w:rPr>
      </w:pPr>
      <w:r>
        <w:rPr>
          <w:rFonts w:hint="eastAsia" w:ascii="方正小标宋简体" w:hAnsi="方正小标宋简体" w:eastAsia="方正小标宋简体" w:cs="方正小标宋简体"/>
          <w:b/>
          <w:bCs/>
          <w:sz w:val="44"/>
          <w:szCs w:val="44"/>
        </w:rPr>
        <w:t>2021年度项目支出绩效自评报告</w:t>
      </w:r>
    </w:p>
    <w:p>
      <w:pPr>
        <w:spacing w:line="620" w:lineRule="exact"/>
        <w:jc w:val="center"/>
        <w:rPr>
          <w:rFonts w:ascii="仿宋_GB2312" w:hAnsi="宋体" w:eastAsia="仿宋_GB2312"/>
          <w:sz w:val="32"/>
          <w:szCs w:val="32"/>
        </w:rPr>
      </w:pPr>
      <w:r>
        <w:rPr>
          <w:rFonts w:hint="eastAsia" w:ascii="仿宋_GB2312" w:hAnsi="宋体" w:eastAsia="仿宋_GB2312"/>
          <w:sz w:val="32"/>
          <w:szCs w:val="32"/>
        </w:rPr>
        <w:t>（信息化建设及运行维护专项经费）</w:t>
      </w:r>
    </w:p>
    <w:p>
      <w:pPr>
        <w:ind w:firstLine="640" w:firstLineChars="200"/>
        <w:rPr>
          <w:rFonts w:ascii="黑体" w:hAnsi="黑体" w:eastAsia="黑体"/>
          <w:sz w:val="32"/>
          <w:szCs w:val="32"/>
        </w:rPr>
      </w:pPr>
    </w:p>
    <w:p>
      <w:pPr>
        <w:ind w:firstLine="643" w:firstLineChars="200"/>
        <w:rPr>
          <w:rFonts w:ascii="黑体" w:hAnsi="黑体" w:eastAsia="黑体"/>
          <w:b/>
          <w:bCs/>
          <w:sz w:val="32"/>
          <w:szCs w:val="32"/>
        </w:rPr>
      </w:pPr>
      <w:r>
        <w:rPr>
          <w:rFonts w:hint="eastAsia" w:ascii="黑体" w:hAnsi="黑体" w:eastAsia="黑体"/>
          <w:b/>
          <w:bCs/>
          <w:sz w:val="32"/>
          <w:szCs w:val="32"/>
        </w:rPr>
        <w:t>一、项目概况</w:t>
      </w:r>
    </w:p>
    <w:p>
      <w:pPr>
        <w:ind w:firstLine="643" w:firstLineChars="200"/>
        <w:rPr>
          <w:rFonts w:ascii="仿宋_GB2312" w:hAnsi="黑体" w:eastAsia="仿宋_GB2312"/>
          <w:sz w:val="32"/>
          <w:szCs w:val="32"/>
        </w:rPr>
      </w:pPr>
      <w:r>
        <w:rPr>
          <w:rFonts w:hint="eastAsia" w:ascii="楷体_GB2312" w:hAnsi="楷体_GB2312" w:eastAsia="楷体_GB2312" w:cs="楷体_GB2312"/>
          <w:b/>
          <w:bCs/>
          <w:sz w:val="32"/>
          <w:szCs w:val="32"/>
        </w:rPr>
        <w:t>（一）项目资金申报及批复情况。</w:t>
      </w:r>
      <w:r>
        <w:rPr>
          <w:rFonts w:hint="eastAsia" w:ascii="仿宋_GB2312" w:hAnsi="黑体" w:eastAsia="仿宋_GB2312"/>
          <w:sz w:val="32"/>
          <w:szCs w:val="32"/>
        </w:rPr>
        <w:t>2</w:t>
      </w:r>
      <w:r>
        <w:rPr>
          <w:rFonts w:ascii="仿宋_GB2312" w:hAnsi="黑体" w:eastAsia="仿宋_GB2312"/>
          <w:sz w:val="32"/>
          <w:szCs w:val="32"/>
        </w:rPr>
        <w:t>021年本单位申报</w:t>
      </w:r>
      <w:r>
        <w:rPr>
          <w:rFonts w:hint="eastAsia" w:ascii="仿宋_GB2312" w:hAnsi="黑体" w:eastAsia="仿宋_GB2312"/>
          <w:sz w:val="32"/>
          <w:szCs w:val="32"/>
        </w:rPr>
        <w:t>信息化</w:t>
      </w:r>
      <w:r>
        <w:rPr>
          <w:rFonts w:ascii="仿宋_GB2312" w:hAnsi="黑体" w:eastAsia="仿宋_GB2312"/>
          <w:sz w:val="32"/>
          <w:szCs w:val="32"/>
        </w:rPr>
        <w:t>建设及运行维护专项经费70.00万元，州本级财政批复70.00万元</w:t>
      </w:r>
      <w:r>
        <w:rPr>
          <w:rFonts w:hint="eastAsia" w:ascii="仿宋_GB2312" w:hAnsi="黑体" w:eastAsia="仿宋_GB2312"/>
          <w:sz w:val="32"/>
          <w:szCs w:val="32"/>
        </w:rPr>
        <w:t>。</w:t>
      </w:r>
    </w:p>
    <w:p>
      <w:pPr>
        <w:ind w:firstLine="643" w:firstLineChars="200"/>
        <w:rPr>
          <w:rFonts w:ascii="仿宋_GB2312" w:hAnsi="黑体" w:eastAsia="仿宋_GB2312"/>
          <w:sz w:val="32"/>
          <w:szCs w:val="32"/>
        </w:rPr>
      </w:pPr>
      <w:r>
        <w:rPr>
          <w:rFonts w:hint="eastAsia" w:ascii="楷体_GB2312" w:hAnsi="楷体_GB2312" w:eastAsia="楷体_GB2312" w:cs="楷体_GB2312"/>
          <w:b/>
          <w:bCs/>
          <w:sz w:val="32"/>
          <w:szCs w:val="32"/>
        </w:rPr>
        <w:t>（二）项目绩效目标</w:t>
      </w:r>
    </w:p>
    <w:p>
      <w:pPr>
        <w:ind w:firstLine="640" w:firstLineChars="200"/>
        <w:rPr>
          <w:rFonts w:ascii="仿宋_GB2312" w:hAnsi="黑体" w:eastAsia="仿宋_GB2312"/>
          <w:sz w:val="32"/>
          <w:szCs w:val="32"/>
        </w:rPr>
      </w:pPr>
      <w:r>
        <w:rPr>
          <w:rFonts w:hint="eastAsia" w:ascii="仿宋_GB2312" w:hAnsi="黑体" w:eastAsia="仿宋_GB2312"/>
          <w:sz w:val="32"/>
          <w:szCs w:val="32"/>
        </w:rPr>
        <w:t>1</w:t>
      </w:r>
      <w:r>
        <w:rPr>
          <w:rFonts w:ascii="仿宋_GB2312" w:hAnsi="黑体" w:eastAsia="仿宋_GB2312"/>
          <w:sz w:val="32"/>
          <w:szCs w:val="32"/>
        </w:rPr>
        <w:t>.总体目标为：</w:t>
      </w:r>
      <w:r>
        <w:rPr>
          <w:rFonts w:hint="eastAsia" w:ascii="仿宋_GB2312" w:hAnsi="黑体" w:eastAsia="仿宋_GB2312"/>
          <w:sz w:val="32"/>
          <w:szCs w:val="32"/>
        </w:rPr>
        <w:t>保障单位网络正常运行；购置信息系统等级保护（2</w:t>
      </w:r>
      <w:r>
        <w:rPr>
          <w:rFonts w:ascii="仿宋_GB2312" w:hAnsi="黑体" w:eastAsia="仿宋_GB2312"/>
          <w:sz w:val="32"/>
          <w:szCs w:val="32"/>
        </w:rPr>
        <w:t>.0</w:t>
      </w:r>
      <w:r>
        <w:rPr>
          <w:rFonts w:hint="eastAsia" w:ascii="仿宋_GB2312" w:hAnsi="黑体" w:eastAsia="仿宋_GB2312"/>
          <w:sz w:val="32"/>
          <w:szCs w:val="32"/>
        </w:rPr>
        <w:t>）1套，通过国际权威测评机构测评，最终通过公安部的备案认可，实现现有的信息系统的网络安全合规要求。</w:t>
      </w:r>
    </w:p>
    <w:p>
      <w:pPr>
        <w:ind w:firstLine="640" w:firstLineChars="200"/>
        <w:rPr>
          <w:rFonts w:ascii="仿宋_GB2312" w:hAnsi="黑体" w:eastAsia="仿宋_GB2312"/>
          <w:sz w:val="32"/>
          <w:szCs w:val="32"/>
        </w:rPr>
      </w:pPr>
      <w:r>
        <w:rPr>
          <w:rFonts w:hint="eastAsia" w:ascii="仿宋_GB2312" w:hAnsi="黑体" w:eastAsia="仿宋_GB2312"/>
          <w:sz w:val="32"/>
          <w:szCs w:val="32"/>
        </w:rPr>
        <w:t>2.数量指标：购置信息系统等级保护（2</w:t>
      </w:r>
      <w:r>
        <w:rPr>
          <w:rFonts w:ascii="仿宋_GB2312" w:hAnsi="黑体" w:eastAsia="仿宋_GB2312"/>
          <w:sz w:val="32"/>
          <w:szCs w:val="32"/>
        </w:rPr>
        <w:t>.0</w:t>
      </w:r>
      <w:r>
        <w:rPr>
          <w:rFonts w:hint="eastAsia" w:ascii="仿宋_GB2312" w:hAnsi="黑体" w:eastAsia="仿宋_GB2312"/>
          <w:sz w:val="32"/>
          <w:szCs w:val="32"/>
        </w:rPr>
        <w:t>）1套</w:t>
      </w:r>
    </w:p>
    <w:p>
      <w:pPr>
        <w:ind w:firstLine="640" w:firstLineChars="200"/>
        <w:rPr>
          <w:rFonts w:ascii="仿宋_GB2312" w:hAnsi="黑体" w:eastAsia="仿宋_GB2312"/>
          <w:sz w:val="32"/>
          <w:szCs w:val="32"/>
        </w:rPr>
      </w:pPr>
      <w:r>
        <w:rPr>
          <w:rFonts w:ascii="仿宋_GB2312" w:hAnsi="黑体" w:eastAsia="仿宋_GB2312"/>
          <w:sz w:val="32"/>
          <w:szCs w:val="32"/>
        </w:rPr>
        <w:t>3.质量指标：产品质量标椎：符合国家标准。</w:t>
      </w:r>
      <w:r>
        <w:rPr>
          <w:rFonts w:hint="eastAsia" w:ascii="仿宋_GB2312" w:hAnsi="黑体" w:eastAsia="仿宋_GB2312"/>
          <w:sz w:val="32"/>
          <w:szCs w:val="32"/>
        </w:rPr>
        <w:t>工作完成率：1</w:t>
      </w:r>
      <w:r>
        <w:rPr>
          <w:rFonts w:ascii="仿宋_GB2312" w:hAnsi="黑体" w:eastAsia="仿宋_GB2312"/>
          <w:sz w:val="32"/>
          <w:szCs w:val="32"/>
        </w:rPr>
        <w:t>00%</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ascii="仿宋_GB2312" w:hAnsi="黑体" w:eastAsia="仿宋_GB2312"/>
          <w:sz w:val="32"/>
          <w:szCs w:val="32"/>
        </w:rPr>
        <w:t>4.时效指标：本年</w:t>
      </w:r>
      <w:r>
        <w:rPr>
          <w:rFonts w:hint="eastAsia" w:ascii="仿宋_GB2312" w:hAnsi="黑体" w:eastAsia="仿宋_GB2312"/>
          <w:sz w:val="32"/>
          <w:szCs w:val="32"/>
        </w:rPr>
        <w:t>1</w:t>
      </w:r>
      <w:r>
        <w:rPr>
          <w:rFonts w:ascii="仿宋_GB2312" w:hAnsi="黑体" w:eastAsia="仿宋_GB2312"/>
          <w:sz w:val="32"/>
          <w:szCs w:val="32"/>
        </w:rPr>
        <w:t>2月</w:t>
      </w:r>
      <w:r>
        <w:rPr>
          <w:rFonts w:hint="eastAsia" w:ascii="仿宋_GB2312" w:hAnsi="黑体" w:eastAsia="仿宋_GB2312"/>
          <w:sz w:val="32"/>
          <w:szCs w:val="32"/>
        </w:rPr>
        <w:t>3</w:t>
      </w:r>
      <w:r>
        <w:rPr>
          <w:rFonts w:ascii="仿宋_GB2312" w:hAnsi="黑体" w:eastAsia="仿宋_GB2312"/>
          <w:sz w:val="32"/>
          <w:szCs w:val="32"/>
        </w:rPr>
        <w:t>1日之前</w:t>
      </w:r>
    </w:p>
    <w:p>
      <w:pPr>
        <w:ind w:firstLine="640" w:firstLineChars="200"/>
        <w:rPr>
          <w:rFonts w:ascii="仿宋_GB2312" w:hAnsi="黑体" w:eastAsia="仿宋_GB2312"/>
          <w:sz w:val="32"/>
          <w:szCs w:val="32"/>
        </w:rPr>
      </w:pPr>
      <w:r>
        <w:rPr>
          <w:rFonts w:ascii="仿宋_GB2312" w:hAnsi="黑体" w:eastAsia="仿宋_GB2312"/>
          <w:sz w:val="32"/>
          <w:szCs w:val="32"/>
        </w:rPr>
        <w:t>5</w:t>
      </w:r>
      <w:r>
        <w:rPr>
          <w:rFonts w:hint="eastAsia" w:ascii="仿宋_GB2312" w:hAnsi="黑体" w:eastAsia="仿宋_GB2312"/>
          <w:sz w:val="32"/>
          <w:szCs w:val="32"/>
        </w:rPr>
        <w:t>.</w:t>
      </w:r>
      <w:r>
        <w:rPr>
          <w:rFonts w:ascii="仿宋_GB2312" w:hAnsi="黑体" w:eastAsia="仿宋_GB2312"/>
          <w:sz w:val="32"/>
          <w:szCs w:val="32"/>
        </w:rPr>
        <w:t>成本指标：购置费</w:t>
      </w:r>
      <w:r>
        <w:rPr>
          <w:rFonts w:hint="eastAsia" w:ascii="仿宋_GB2312" w:hAnsi="黑体" w:eastAsia="仿宋_GB2312"/>
          <w:sz w:val="32"/>
          <w:szCs w:val="32"/>
        </w:rPr>
        <w:t>5</w:t>
      </w:r>
      <w:r>
        <w:rPr>
          <w:rFonts w:ascii="仿宋_GB2312" w:hAnsi="黑体" w:eastAsia="仿宋_GB2312"/>
          <w:sz w:val="32"/>
          <w:szCs w:val="32"/>
        </w:rPr>
        <w:t>0万元，网络运行维护费</w:t>
      </w:r>
      <w:r>
        <w:rPr>
          <w:rFonts w:hint="eastAsia" w:ascii="仿宋_GB2312" w:hAnsi="黑体" w:eastAsia="仿宋_GB2312"/>
          <w:sz w:val="32"/>
          <w:szCs w:val="32"/>
        </w:rPr>
        <w:t>2</w:t>
      </w:r>
      <w:r>
        <w:rPr>
          <w:rFonts w:ascii="仿宋_GB2312" w:hAnsi="黑体" w:eastAsia="仿宋_GB2312"/>
          <w:sz w:val="32"/>
          <w:szCs w:val="32"/>
        </w:rPr>
        <w:t>0.00万元。</w:t>
      </w:r>
    </w:p>
    <w:p>
      <w:pPr>
        <w:ind w:firstLine="640" w:firstLineChars="200"/>
        <w:rPr>
          <w:rFonts w:ascii="仿宋_GB2312" w:hAnsi="黑体" w:eastAsia="仿宋_GB2312"/>
          <w:sz w:val="32"/>
          <w:szCs w:val="32"/>
        </w:rPr>
      </w:pPr>
      <w:r>
        <w:rPr>
          <w:rFonts w:hint="eastAsia" w:ascii="仿宋_GB2312" w:hAnsi="黑体" w:eastAsia="仿宋_GB2312"/>
          <w:sz w:val="32"/>
          <w:szCs w:val="32"/>
        </w:rPr>
        <w:t>6</w:t>
      </w:r>
      <w:r>
        <w:rPr>
          <w:rFonts w:ascii="仿宋_GB2312" w:hAnsi="黑体" w:eastAsia="仿宋_GB2312"/>
          <w:sz w:val="32"/>
          <w:szCs w:val="32"/>
        </w:rPr>
        <w:t>.</w:t>
      </w:r>
      <w:r>
        <w:rPr>
          <w:rFonts w:hint="eastAsia" w:ascii="仿宋_GB2312" w:hAnsi="黑体" w:eastAsia="仿宋_GB2312"/>
          <w:sz w:val="32"/>
          <w:szCs w:val="32"/>
        </w:rPr>
        <w:t>可持续影响指标：影响时效：长期</w:t>
      </w:r>
    </w:p>
    <w:p>
      <w:pPr>
        <w:ind w:firstLine="640" w:firstLineChars="200"/>
        <w:rPr>
          <w:rFonts w:ascii="仿宋_GB2312" w:hAnsi="黑体" w:eastAsia="仿宋_GB2312"/>
          <w:sz w:val="32"/>
          <w:szCs w:val="32"/>
        </w:rPr>
      </w:pPr>
      <w:r>
        <w:rPr>
          <w:rFonts w:hint="eastAsia" w:ascii="仿宋_GB2312" w:hAnsi="黑体" w:eastAsia="仿宋_GB2312"/>
          <w:sz w:val="32"/>
          <w:szCs w:val="32"/>
        </w:rPr>
        <w:t>7.满意度指标：使用者满意度：</w:t>
      </w:r>
      <w:r>
        <w:rPr>
          <w:rFonts w:hint="eastAsia" w:ascii="微软雅黑" w:hAnsi="微软雅黑" w:eastAsia="微软雅黑" w:cs="微软雅黑"/>
          <w:sz w:val="32"/>
          <w:szCs w:val="32"/>
        </w:rPr>
        <w:t>≧</w:t>
      </w:r>
      <w:r>
        <w:rPr>
          <w:rFonts w:hint="eastAsia" w:ascii="仿宋_GB2312" w:hAnsi="黑体" w:eastAsia="仿宋_GB2312"/>
          <w:sz w:val="32"/>
          <w:szCs w:val="32"/>
        </w:rPr>
        <w:t>90%</w:t>
      </w:r>
    </w:p>
    <w:p>
      <w:pPr>
        <w:ind w:firstLine="643" w:firstLineChars="200"/>
        <w:rPr>
          <w:rFonts w:ascii="仿宋_GB2312" w:hAnsi="黑体" w:eastAsia="仿宋_GB2312"/>
          <w:sz w:val="32"/>
          <w:szCs w:val="32"/>
        </w:rPr>
      </w:pPr>
      <w:r>
        <w:rPr>
          <w:rFonts w:hint="eastAsia" w:ascii="楷体_GB2312" w:hAnsi="楷体_GB2312" w:eastAsia="楷体_GB2312" w:cs="楷体_GB2312"/>
          <w:b/>
          <w:bCs/>
          <w:sz w:val="32"/>
          <w:szCs w:val="32"/>
        </w:rPr>
        <w:t>（三）项目资金申报相符性。</w:t>
      </w:r>
      <w:r>
        <w:rPr>
          <w:rFonts w:hint="eastAsia" w:ascii="仿宋_GB2312" w:hAnsi="黑体" w:eastAsia="仿宋_GB2312"/>
          <w:sz w:val="32"/>
          <w:szCs w:val="32"/>
        </w:rPr>
        <w:t>本单位项目申报内容与具体实施内容相符、申报目标合理可行。</w:t>
      </w:r>
    </w:p>
    <w:p>
      <w:pPr>
        <w:ind w:firstLine="643" w:firstLineChars="200"/>
        <w:rPr>
          <w:rFonts w:ascii="黑体" w:hAnsi="黑体" w:eastAsia="黑体"/>
          <w:b/>
          <w:bCs/>
          <w:sz w:val="32"/>
          <w:szCs w:val="32"/>
        </w:rPr>
      </w:pPr>
      <w:r>
        <w:rPr>
          <w:rFonts w:hint="eastAsia" w:ascii="黑体" w:hAnsi="黑体" w:eastAsia="黑体"/>
          <w:b/>
          <w:bCs/>
          <w:sz w:val="32"/>
          <w:szCs w:val="32"/>
        </w:rPr>
        <w:t>二、项目实施及管理情况</w:t>
      </w:r>
    </w:p>
    <w:p>
      <w:pPr>
        <w:ind w:firstLine="643" w:firstLineChars="200"/>
        <w:rPr>
          <w:rFonts w:ascii="仿宋_GB2312" w:hAnsi="黑体" w:eastAsia="仿宋_GB2312"/>
          <w:sz w:val="32"/>
          <w:szCs w:val="32"/>
        </w:rPr>
      </w:pPr>
      <w:r>
        <w:rPr>
          <w:rFonts w:hint="eastAsia" w:ascii="楷体_GB2312" w:hAnsi="楷体_GB2312" w:eastAsia="楷体_GB2312" w:cs="楷体_GB2312"/>
          <w:b/>
          <w:bCs/>
          <w:sz w:val="32"/>
          <w:szCs w:val="32"/>
        </w:rPr>
        <w:t>（一）资金计划、到位及使用情况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1.资金计划及到位。2</w:t>
      </w:r>
      <w:r>
        <w:rPr>
          <w:rFonts w:ascii="仿宋_GB2312" w:hAnsi="黑体" w:eastAsia="仿宋_GB2312"/>
          <w:sz w:val="32"/>
          <w:szCs w:val="32"/>
        </w:rPr>
        <w:t>021年</w:t>
      </w:r>
      <w:r>
        <w:rPr>
          <w:rFonts w:hint="eastAsia" w:ascii="仿宋_GB2312" w:hAnsi="黑体" w:eastAsia="仿宋_GB2312"/>
          <w:sz w:val="32"/>
          <w:szCs w:val="32"/>
        </w:rPr>
        <w:t>信息化</w:t>
      </w:r>
      <w:r>
        <w:rPr>
          <w:rFonts w:ascii="仿宋_GB2312" w:hAnsi="黑体" w:eastAsia="仿宋_GB2312"/>
          <w:sz w:val="32"/>
          <w:szCs w:val="32"/>
        </w:rPr>
        <w:t>建设及运行维护专项经费</w:t>
      </w:r>
      <w:r>
        <w:rPr>
          <w:rFonts w:hint="eastAsia" w:ascii="仿宋_GB2312" w:hAnsi="黑体" w:eastAsia="仿宋_GB2312"/>
          <w:sz w:val="32"/>
          <w:szCs w:val="32"/>
        </w:rPr>
        <w:t>资金计划</w:t>
      </w:r>
      <w:r>
        <w:rPr>
          <w:rFonts w:ascii="仿宋_GB2312" w:hAnsi="黑体" w:eastAsia="仿宋_GB2312"/>
          <w:sz w:val="32"/>
          <w:szCs w:val="32"/>
        </w:rPr>
        <w:t>70.00万元。</w:t>
      </w:r>
      <w:r>
        <w:rPr>
          <w:rFonts w:hint="eastAsia" w:ascii="仿宋_GB2312" w:hAnsi="黑体" w:eastAsia="仿宋_GB2312"/>
          <w:sz w:val="32"/>
          <w:szCs w:val="32"/>
        </w:rPr>
        <w:t>实际到位</w:t>
      </w:r>
      <w:r>
        <w:rPr>
          <w:rFonts w:ascii="仿宋_GB2312" w:hAnsi="黑体" w:eastAsia="仿宋_GB2312"/>
          <w:sz w:val="32"/>
          <w:szCs w:val="32"/>
        </w:rPr>
        <w:t>70.00万元</w:t>
      </w:r>
      <w:r>
        <w:rPr>
          <w:rFonts w:hint="eastAsia" w:ascii="仿宋_GB2312" w:hAnsi="黑体" w:eastAsia="仿宋_GB2312"/>
          <w:sz w:val="32"/>
          <w:szCs w:val="32"/>
        </w:rPr>
        <w:t>，资金到位率1</w:t>
      </w:r>
      <w:r>
        <w:rPr>
          <w:rFonts w:ascii="仿宋_GB2312" w:hAnsi="黑体" w:eastAsia="仿宋_GB2312"/>
          <w:sz w:val="32"/>
          <w:szCs w:val="32"/>
        </w:rPr>
        <w:t>00%</w:t>
      </w:r>
      <w:r>
        <w:rPr>
          <w:rFonts w:hint="eastAsia" w:ascii="仿宋_GB2312" w:hAnsi="黑体" w:eastAsia="仿宋_GB2312"/>
          <w:sz w:val="32"/>
          <w:szCs w:val="32"/>
        </w:rPr>
        <w:t>。</w:t>
      </w:r>
    </w:p>
    <w:p>
      <w:pPr>
        <w:ind w:firstLine="640" w:firstLineChars="200"/>
        <w:rPr>
          <w:rFonts w:ascii="仿宋" w:hAnsi="仿宋" w:eastAsia="仿宋" w:cs="Times New Roman"/>
          <w:sz w:val="32"/>
          <w:szCs w:val="32"/>
        </w:rPr>
      </w:pPr>
      <w:r>
        <w:rPr>
          <w:rFonts w:hint="eastAsia" w:ascii="仿宋_GB2312" w:hAnsi="黑体" w:eastAsia="仿宋_GB2312"/>
          <w:sz w:val="32"/>
          <w:szCs w:val="32"/>
        </w:rPr>
        <w:t>2.资金使用。本项目资金的实际支出购置费</w:t>
      </w:r>
      <w:r>
        <w:rPr>
          <w:rFonts w:ascii="仿宋_GB2312" w:hAnsi="黑体" w:eastAsia="仿宋_GB2312"/>
          <w:sz w:val="32"/>
          <w:szCs w:val="32"/>
        </w:rPr>
        <w:t>50.00万元</w:t>
      </w:r>
      <w:r>
        <w:rPr>
          <w:rFonts w:hint="eastAsia" w:ascii="仿宋_GB2312" w:hAnsi="黑体" w:eastAsia="仿宋_GB2312"/>
          <w:sz w:val="32"/>
          <w:szCs w:val="32"/>
        </w:rPr>
        <w:t>，网络运行维护费2</w:t>
      </w:r>
      <w:r>
        <w:rPr>
          <w:rFonts w:ascii="仿宋_GB2312" w:hAnsi="黑体" w:eastAsia="仿宋_GB2312"/>
          <w:sz w:val="32"/>
          <w:szCs w:val="32"/>
        </w:rPr>
        <w:t>0.00万元，</w:t>
      </w:r>
      <w:r>
        <w:rPr>
          <w:rFonts w:hint="eastAsia" w:ascii="仿宋" w:hAnsi="仿宋" w:eastAsia="仿宋" w:cs="Times New Roman"/>
          <w:sz w:val="32"/>
          <w:szCs w:val="32"/>
        </w:rPr>
        <w:t>专项资金的使用完全严格按照相关规定执行，符合专项资金使用相关规定，支出合规合理合法。</w:t>
      </w:r>
    </w:p>
    <w:p>
      <w:pPr>
        <w:ind w:firstLine="643" w:firstLineChars="200"/>
        <w:rPr>
          <w:rFonts w:ascii="仿宋_GB2312" w:hAnsi="黑体" w:eastAsia="仿宋_GB2312"/>
          <w:sz w:val="32"/>
          <w:szCs w:val="32"/>
        </w:rPr>
      </w:pPr>
      <w:r>
        <w:rPr>
          <w:rFonts w:hint="eastAsia" w:ascii="楷体_GB2312" w:hAnsi="楷体_GB2312" w:eastAsia="楷体_GB2312" w:cs="楷体_GB2312"/>
          <w:b/>
          <w:bCs/>
          <w:sz w:val="32"/>
          <w:szCs w:val="32"/>
        </w:rPr>
        <w:t>（二）项目财务管理情况</w:t>
      </w:r>
    </w:p>
    <w:p>
      <w:pPr>
        <w:adjustRightInd w:val="0"/>
        <w:spacing w:line="460" w:lineRule="exact"/>
        <w:ind w:firstLine="640" w:firstLineChars="200"/>
        <w:rPr>
          <w:rFonts w:ascii="仿宋" w:hAnsi="仿宋" w:eastAsia="仿宋" w:cs="Times New Roman"/>
          <w:sz w:val="32"/>
          <w:szCs w:val="32"/>
        </w:rPr>
      </w:pPr>
      <w:r>
        <w:rPr>
          <w:rFonts w:hint="eastAsia" w:ascii="仿宋_GB2312" w:hAnsi="黑体" w:eastAsia="仿宋_GB2312"/>
          <w:sz w:val="32"/>
          <w:szCs w:val="32"/>
        </w:rPr>
        <w:t>本项目财务管理制度健全、机构设置合理、</w:t>
      </w:r>
      <w:r>
        <w:rPr>
          <w:rFonts w:hint="eastAsia" w:ascii="仿宋" w:hAnsi="仿宋" w:eastAsia="仿宋" w:cs="Times New Roman"/>
          <w:sz w:val="32"/>
          <w:szCs w:val="32"/>
        </w:rPr>
        <w:t>专项资金设置、分配、管理、使用均严格按照专项资金使用规定执行，做到专款专用，严格把关资金使用，建立健全了专项资金的使用机制。会计核算及时。</w:t>
      </w:r>
    </w:p>
    <w:p>
      <w:pPr>
        <w:ind w:firstLine="643" w:firstLineChars="200"/>
        <w:rPr>
          <w:rFonts w:ascii="仿宋_GB2312" w:hAnsi="黑体" w:eastAsia="仿宋_GB2312"/>
          <w:sz w:val="32"/>
          <w:szCs w:val="32"/>
        </w:rPr>
      </w:pPr>
      <w:r>
        <w:rPr>
          <w:rFonts w:hint="eastAsia" w:ascii="楷体_GB2312" w:hAnsi="楷体_GB2312" w:eastAsia="楷体_GB2312" w:cs="楷体_GB2312"/>
          <w:b/>
          <w:bCs/>
          <w:sz w:val="32"/>
          <w:szCs w:val="32"/>
        </w:rPr>
        <w:t>（三）项目组织实施情况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本项目由业务科室组织实施：首先在年初预算编制时按照实际需要提出需求，再提交局党组研究决定，最后由财务室汇总上报州财政局。</w:t>
      </w:r>
    </w:p>
    <w:p>
      <w:pPr>
        <w:ind w:firstLine="643" w:firstLineChars="200"/>
        <w:rPr>
          <w:rFonts w:ascii="黑体" w:hAnsi="黑体" w:eastAsia="黑体"/>
          <w:sz w:val="32"/>
          <w:szCs w:val="32"/>
        </w:rPr>
      </w:pPr>
      <w:r>
        <w:rPr>
          <w:rFonts w:hint="eastAsia" w:ascii="黑体" w:hAnsi="黑体" w:eastAsia="黑体"/>
          <w:b/>
          <w:bCs/>
          <w:sz w:val="32"/>
          <w:szCs w:val="32"/>
        </w:rPr>
        <w:t>三、项目绩效情况</w:t>
      </w:r>
      <w:r>
        <w:rPr>
          <w:rFonts w:hint="eastAsia" w:ascii="黑体" w:hAnsi="黑体" w:eastAsia="黑体"/>
          <w:sz w:val="32"/>
          <w:szCs w:val="32"/>
        </w:rPr>
        <w:tab/>
      </w:r>
    </w:p>
    <w:p>
      <w:pPr>
        <w:pStyle w:val="8"/>
        <w:ind w:left="640" w:firstLine="0" w:firstLineChars="0"/>
        <w:rPr>
          <w:rFonts w:ascii="仿宋_GB2312" w:hAnsi="黑体" w:eastAsia="仿宋_GB2312"/>
          <w:sz w:val="32"/>
          <w:szCs w:val="32"/>
        </w:rPr>
      </w:pPr>
      <w:r>
        <w:rPr>
          <w:rFonts w:hint="eastAsia" w:ascii="楷体_GB2312" w:hAnsi="楷体_GB2312" w:eastAsia="楷体_GB2312" w:cs="楷体_GB2312"/>
          <w:b/>
          <w:bCs/>
          <w:sz w:val="32"/>
          <w:szCs w:val="32"/>
        </w:rPr>
        <w:t>（一）项目完成情况</w:t>
      </w:r>
    </w:p>
    <w:p>
      <w:pPr>
        <w:spacing w:line="540" w:lineRule="exact"/>
        <w:ind w:firstLine="640" w:firstLineChars="200"/>
        <w:rPr>
          <w:rFonts w:ascii="仿宋_GB2312" w:hAnsi="仿宋" w:eastAsia="仿宋_GB2312"/>
          <w:sz w:val="32"/>
          <w:szCs w:val="32"/>
        </w:rPr>
      </w:pPr>
      <w:r>
        <w:rPr>
          <w:rFonts w:hint="eastAsia" w:ascii="仿宋_GB2312" w:hAnsi="仿宋" w:eastAsia="仿宋_GB2312"/>
          <w:sz w:val="32"/>
          <w:szCs w:val="32"/>
        </w:rPr>
        <w:t>因为有州财政的大力支持，本单位的信息化建设有了极大的改善和提高：</w:t>
      </w:r>
    </w:p>
    <w:p>
      <w:pPr>
        <w:spacing w:line="540" w:lineRule="exact"/>
        <w:ind w:firstLine="640" w:firstLineChars="200"/>
        <w:rPr>
          <w:rFonts w:ascii="楷体" w:hAnsi="楷体" w:eastAsia="楷体" w:cs="黑体"/>
          <w:sz w:val="32"/>
          <w:szCs w:val="32"/>
        </w:rPr>
      </w:pPr>
      <w:r>
        <w:rPr>
          <w:rFonts w:hint="eastAsia" w:ascii="楷体" w:hAnsi="楷体" w:eastAsia="楷体" w:cs="黑体"/>
          <w:sz w:val="32"/>
          <w:szCs w:val="32"/>
        </w:rPr>
        <w:t>1</w:t>
      </w:r>
      <w:r>
        <w:rPr>
          <w:rFonts w:ascii="楷体" w:hAnsi="楷体" w:eastAsia="楷体" w:cs="黑体"/>
          <w:sz w:val="32"/>
          <w:szCs w:val="32"/>
        </w:rPr>
        <w:t>.</w:t>
      </w:r>
      <w:r>
        <w:rPr>
          <w:rFonts w:hint="eastAsia" w:ascii="楷体" w:hAnsi="楷体" w:eastAsia="楷体" w:cs="黑体"/>
          <w:sz w:val="32"/>
          <w:szCs w:val="32"/>
        </w:rPr>
        <w:t>机房建设</w:t>
      </w:r>
    </w:p>
    <w:p>
      <w:pPr>
        <w:ind w:firstLine="640" w:firstLineChars="200"/>
        <w:rPr>
          <w:rFonts w:ascii="仿宋_GB2312" w:hAnsi="黑体" w:eastAsia="仿宋_GB2312"/>
          <w:sz w:val="32"/>
          <w:szCs w:val="32"/>
        </w:rPr>
      </w:pPr>
      <w:r>
        <w:rPr>
          <w:rFonts w:hint="eastAsia" w:ascii="仿宋_GB2312" w:hAnsi="仿宋" w:eastAsia="仿宋_GB2312"/>
          <w:sz w:val="32"/>
          <w:szCs w:val="32"/>
        </w:rPr>
        <w:t>本单位拥有专用机房，面积为18平方米，配备有5台服务器、4台路由器、6台交换机、1台防火墙、1台vpn设备、1台监控服务器，两个专用机柜、ups供电，所有设备均按标准摆放和标记。同时，配备有气体灭火器一套。</w:t>
      </w:r>
      <w:r>
        <w:rPr>
          <w:rFonts w:hint="eastAsia" w:ascii="仿宋_GB2312" w:hAnsi="黑体" w:eastAsia="仿宋_GB2312"/>
          <w:sz w:val="32"/>
          <w:szCs w:val="32"/>
        </w:rPr>
        <w:t>购置信息系统等级保护（2</w:t>
      </w:r>
      <w:r>
        <w:rPr>
          <w:rFonts w:ascii="仿宋_GB2312" w:hAnsi="黑体" w:eastAsia="仿宋_GB2312"/>
          <w:sz w:val="32"/>
          <w:szCs w:val="32"/>
        </w:rPr>
        <w:t>.0</w:t>
      </w:r>
      <w:r>
        <w:rPr>
          <w:rFonts w:hint="eastAsia" w:ascii="仿宋_GB2312" w:hAnsi="黑体" w:eastAsia="仿宋_GB2312"/>
          <w:sz w:val="32"/>
          <w:szCs w:val="32"/>
        </w:rPr>
        <w:t>）1套</w:t>
      </w:r>
      <w:r>
        <w:rPr>
          <w:rFonts w:ascii="仿宋_GB2312" w:hAnsi="黑体" w:eastAsia="仿宋_GB2312"/>
          <w:sz w:val="32"/>
          <w:szCs w:val="32"/>
        </w:rPr>
        <w:t>。</w:t>
      </w:r>
    </w:p>
    <w:p>
      <w:pPr>
        <w:spacing w:line="540" w:lineRule="exact"/>
        <w:ind w:firstLine="640" w:firstLineChars="200"/>
        <w:rPr>
          <w:rFonts w:ascii="仿宋_GB2312" w:hAnsi="仿宋" w:eastAsia="仿宋_GB2312"/>
          <w:sz w:val="32"/>
          <w:szCs w:val="32"/>
        </w:rPr>
      </w:pPr>
      <w:r>
        <w:rPr>
          <w:rFonts w:hint="eastAsia" w:ascii="仿宋_GB2312" w:hAnsi="仿宋" w:eastAsia="仿宋_GB2312"/>
          <w:sz w:val="32"/>
          <w:szCs w:val="32"/>
        </w:rPr>
        <w:t>为保障甘孜统计系统的网络安全我局专门</w:t>
      </w:r>
      <w:r>
        <w:rPr>
          <w:rFonts w:ascii="仿宋_GB2312" w:hAnsi="仿宋" w:eastAsia="仿宋_GB2312"/>
          <w:sz w:val="32"/>
          <w:szCs w:val="32"/>
        </w:rPr>
        <w:t>配备</w:t>
      </w:r>
      <w:r>
        <w:rPr>
          <w:rFonts w:hint="eastAsia" w:ascii="仿宋_GB2312" w:hAnsi="仿宋" w:eastAsia="仿宋_GB2312"/>
          <w:sz w:val="32"/>
          <w:szCs w:val="32"/>
        </w:rPr>
        <w:t>防火墙1台、核心路由器1台、核心交换机1台。便于18个县（市）统计局接入电信50M宽带统计专线。</w:t>
      </w:r>
    </w:p>
    <w:p>
      <w:pPr>
        <w:spacing w:line="540" w:lineRule="exact"/>
        <w:ind w:firstLine="640" w:firstLineChars="200"/>
        <w:rPr>
          <w:rFonts w:ascii="楷体" w:hAnsi="楷体" w:eastAsia="楷体" w:cs="黑体"/>
          <w:sz w:val="32"/>
          <w:szCs w:val="32"/>
        </w:rPr>
      </w:pPr>
      <w:r>
        <w:rPr>
          <w:rFonts w:ascii="楷体" w:hAnsi="楷体" w:eastAsia="楷体" w:cs="黑体"/>
          <w:sz w:val="32"/>
          <w:szCs w:val="32"/>
        </w:rPr>
        <w:t>2</w:t>
      </w:r>
      <w:r>
        <w:rPr>
          <w:rFonts w:hint="eastAsia" w:ascii="楷体" w:hAnsi="楷体" w:eastAsia="楷体" w:cs="黑体"/>
          <w:sz w:val="32"/>
          <w:szCs w:val="32"/>
        </w:rPr>
        <w:t>.网络运行</w:t>
      </w:r>
    </w:p>
    <w:p>
      <w:pPr>
        <w:spacing w:line="580" w:lineRule="atLeast"/>
        <w:ind w:firstLine="640"/>
        <w:rPr>
          <w:rFonts w:ascii="仿宋_GB2312" w:hAnsi="仿宋" w:eastAsia="仿宋_GB2312"/>
          <w:sz w:val="32"/>
          <w:szCs w:val="32"/>
        </w:rPr>
      </w:pPr>
      <w:r>
        <w:rPr>
          <w:rFonts w:hint="eastAsia" w:ascii="仿宋_GB2312" w:hAnsi="仿宋_GB2312" w:eastAsia="仿宋_GB2312" w:cs="仿宋_GB2312"/>
          <w:kern w:val="0"/>
          <w:sz w:val="32"/>
          <w:szCs w:val="32"/>
        </w:rPr>
        <w:t>为进一步贯彻落实习近平总书记关于网络强国重要思想和国家统计局、省统计局网络安全和信息化工作会议精神，</w:t>
      </w:r>
      <w:r>
        <w:rPr>
          <w:rFonts w:hint="eastAsia" w:ascii="仿宋_GB2312" w:hAnsi="仿宋" w:eastAsia="仿宋_GB2312"/>
          <w:sz w:val="32"/>
          <w:szCs w:val="32"/>
        </w:rPr>
        <w:t>在经济全面下行、部门预算全面削减的情况下，我局</w:t>
      </w:r>
      <w:r>
        <w:rPr>
          <w:rFonts w:hint="eastAsia" w:ascii="仿宋_GB2312" w:hAnsi="仿宋_GB2312" w:eastAsia="仿宋_GB2312" w:cs="仿宋_GB2312"/>
          <w:kern w:val="0"/>
          <w:sz w:val="32"/>
          <w:szCs w:val="32"/>
        </w:rPr>
        <w:t>2</w:t>
      </w:r>
      <w:r>
        <w:rPr>
          <w:rFonts w:ascii="仿宋_GB2312" w:hAnsi="仿宋_GB2312" w:eastAsia="仿宋_GB2312" w:cs="仿宋_GB2312"/>
          <w:kern w:val="0"/>
          <w:sz w:val="32"/>
          <w:szCs w:val="32"/>
        </w:rPr>
        <w:t>021</w:t>
      </w:r>
      <w:r>
        <w:rPr>
          <w:rFonts w:hint="eastAsia" w:ascii="仿宋_GB2312" w:hAnsi="仿宋_GB2312" w:eastAsia="仿宋_GB2312" w:cs="仿宋_GB2312"/>
          <w:kern w:val="0"/>
          <w:sz w:val="32"/>
          <w:szCs w:val="32"/>
        </w:rPr>
        <w:t>年度信网络运行维护费预算金额为2</w:t>
      </w:r>
      <w:r>
        <w:rPr>
          <w:rFonts w:ascii="仿宋_GB2312" w:hAnsi="仿宋_GB2312" w:eastAsia="仿宋_GB2312" w:cs="仿宋_GB2312"/>
          <w:kern w:val="0"/>
          <w:sz w:val="32"/>
          <w:szCs w:val="32"/>
        </w:rPr>
        <w:t>0</w:t>
      </w:r>
      <w:r>
        <w:rPr>
          <w:rFonts w:hint="eastAsia" w:ascii="仿宋_GB2312" w:hAnsi="仿宋_GB2312" w:eastAsia="仿宋_GB2312" w:cs="仿宋_GB2312"/>
          <w:kern w:val="0"/>
          <w:sz w:val="32"/>
          <w:szCs w:val="32"/>
        </w:rPr>
        <w:t>万元，充分保障了网络安全畅通。</w:t>
      </w:r>
    </w:p>
    <w:p>
      <w:pPr>
        <w:spacing w:line="540" w:lineRule="exact"/>
        <w:ind w:firstLine="640" w:firstLineChars="200"/>
        <w:jc w:val="left"/>
        <w:rPr>
          <w:rFonts w:ascii="楷体" w:hAnsi="楷体" w:eastAsia="楷体" w:cs="黑体"/>
          <w:sz w:val="32"/>
          <w:szCs w:val="32"/>
        </w:rPr>
      </w:pPr>
      <w:r>
        <w:rPr>
          <w:rFonts w:hint="eastAsia" w:ascii="楷体" w:hAnsi="楷体" w:eastAsia="楷体" w:cs="黑体"/>
          <w:sz w:val="32"/>
          <w:szCs w:val="32"/>
        </w:rPr>
        <w:t>（1）市到县网络建设、覆盖情况</w:t>
      </w:r>
    </w:p>
    <w:p>
      <w:pPr>
        <w:ind w:firstLine="640" w:firstLineChars="200"/>
        <w:rPr>
          <w:rFonts w:ascii="仿宋_GB2312" w:hAnsi="仿宋" w:eastAsia="仿宋_GB2312"/>
          <w:sz w:val="32"/>
          <w:szCs w:val="32"/>
        </w:rPr>
      </w:pPr>
      <w:r>
        <w:rPr>
          <w:rFonts w:hint="eastAsia" w:ascii="仿宋_GB2312" w:hAnsi="仿宋" w:eastAsia="仿宋_GB2312"/>
          <w:sz w:val="32"/>
          <w:szCs w:val="32"/>
        </w:rPr>
        <w:t>州局路由器配置均采用省局规划进行配置并接入省局网络，并及时清理路由表，保证了网络状态良好，无丢包、阻塞等情况。同时，州局机房内建设有统计专网接入路由器和核心交换机。到所有县（市）局的网络物理通道采用了MSTP技术连接。</w:t>
      </w:r>
    </w:p>
    <w:p>
      <w:pPr>
        <w:spacing w:line="540" w:lineRule="exact"/>
        <w:ind w:firstLine="640" w:firstLineChars="200"/>
        <w:jc w:val="left"/>
        <w:rPr>
          <w:rFonts w:ascii="楷体" w:hAnsi="楷体" w:eastAsia="楷体" w:cs="黑体"/>
          <w:sz w:val="32"/>
          <w:szCs w:val="32"/>
        </w:rPr>
      </w:pPr>
      <w:r>
        <w:rPr>
          <w:rFonts w:ascii="楷体" w:hAnsi="楷体" w:eastAsia="楷体" w:cs="黑体"/>
          <w:sz w:val="32"/>
          <w:szCs w:val="32"/>
        </w:rPr>
        <w:t>（</w:t>
      </w:r>
      <w:r>
        <w:rPr>
          <w:rFonts w:hint="eastAsia" w:ascii="楷体" w:hAnsi="楷体" w:eastAsia="楷体" w:cs="黑体"/>
          <w:sz w:val="32"/>
          <w:szCs w:val="32"/>
        </w:rPr>
        <w:t>2</w:t>
      </w:r>
      <w:r>
        <w:rPr>
          <w:rFonts w:ascii="楷体" w:hAnsi="楷体" w:eastAsia="楷体" w:cs="黑体"/>
          <w:sz w:val="32"/>
          <w:szCs w:val="32"/>
        </w:rPr>
        <w:t>）</w:t>
      </w:r>
      <w:r>
        <w:rPr>
          <w:rFonts w:hint="eastAsia" w:ascii="楷体" w:hAnsi="楷体" w:eastAsia="楷体" w:cs="黑体"/>
          <w:sz w:val="32"/>
          <w:szCs w:val="32"/>
        </w:rPr>
        <w:t>县到乡网络建设、覆盖等情况</w:t>
      </w:r>
    </w:p>
    <w:p>
      <w:pPr>
        <w:ind w:firstLine="640" w:firstLineChars="200"/>
        <w:rPr>
          <w:rFonts w:ascii="仿宋_GB2312" w:hAnsi="仿宋" w:eastAsia="仿宋_GB2312"/>
          <w:sz w:val="32"/>
          <w:szCs w:val="32"/>
        </w:rPr>
      </w:pPr>
      <w:r>
        <w:rPr>
          <w:rFonts w:hint="eastAsia" w:ascii="仿宋_GB2312" w:hAnsi="仿宋" w:eastAsia="仿宋_GB2312"/>
          <w:sz w:val="32"/>
          <w:szCs w:val="32"/>
        </w:rPr>
        <w:t>州统计局按要求采取了VPN的方式接通了所有乡镇统计专网。同时，每个乡镇指定专人进行统计专网维护，每个乡镇有一台专用于统计专网的计算机，保障了乡镇统计业务正常填报。</w:t>
      </w:r>
    </w:p>
    <w:p>
      <w:pPr>
        <w:adjustRightInd w:val="0"/>
        <w:spacing w:line="540" w:lineRule="exact"/>
        <w:ind w:firstLine="640" w:firstLineChars="200"/>
        <w:rPr>
          <w:rFonts w:ascii="楷体" w:hAnsi="楷体" w:eastAsia="楷体" w:cs="黑体"/>
          <w:sz w:val="32"/>
          <w:szCs w:val="32"/>
        </w:rPr>
      </w:pPr>
      <w:r>
        <w:rPr>
          <w:rFonts w:ascii="楷体" w:hAnsi="楷体" w:eastAsia="楷体" w:cs="黑体"/>
          <w:sz w:val="32"/>
          <w:szCs w:val="32"/>
        </w:rPr>
        <w:t>（3）</w:t>
      </w:r>
      <w:r>
        <w:rPr>
          <w:rFonts w:hint="eastAsia" w:ascii="楷体" w:hAnsi="楷体" w:eastAsia="楷体" w:cs="黑体"/>
          <w:sz w:val="32"/>
          <w:szCs w:val="32"/>
        </w:rPr>
        <w:t>骨干网络建设情况</w:t>
      </w:r>
    </w:p>
    <w:p>
      <w:pPr>
        <w:ind w:firstLine="640" w:firstLineChars="200"/>
        <w:rPr>
          <w:rFonts w:ascii="仿宋_GB2312" w:hAnsi="仿宋" w:eastAsia="仿宋_GB2312"/>
          <w:sz w:val="32"/>
          <w:szCs w:val="32"/>
        </w:rPr>
      </w:pPr>
      <w:r>
        <w:rPr>
          <w:rFonts w:hint="eastAsia" w:ascii="仿宋_GB2312" w:hAnsi="仿宋" w:eastAsia="仿宋_GB2312"/>
          <w:sz w:val="32"/>
          <w:szCs w:val="32"/>
        </w:rPr>
        <w:t>为做好骨干网建设前期工作，甘孜州统计局协调州电信、广电安装调试数据传输通道，并及时梳理辖区内网络设备、IP地址规划、路由规划配置等信息。同时，全力按照规划方案配合现场实施人员安装工作。并按照省局相关要求，积极协调跟进，密切配合，于8月10日顺利完成了骨干网络改造的项目设备安装和联网调试工作。并会同安装调试人员对网络进行了测试。通过测试，网络通畅，所有业务系统均能正常访问。</w:t>
      </w:r>
    </w:p>
    <w:p>
      <w:pPr>
        <w:adjustRightInd w:val="0"/>
        <w:spacing w:line="540" w:lineRule="exact"/>
        <w:ind w:firstLine="640" w:firstLineChars="200"/>
        <w:rPr>
          <w:rFonts w:ascii="楷体" w:hAnsi="楷体" w:eastAsia="楷体" w:cs="黑体"/>
          <w:sz w:val="32"/>
          <w:szCs w:val="32"/>
        </w:rPr>
      </w:pPr>
      <w:r>
        <w:rPr>
          <w:rFonts w:ascii="楷体" w:hAnsi="楷体" w:eastAsia="楷体" w:cs="黑体"/>
          <w:sz w:val="32"/>
          <w:szCs w:val="32"/>
        </w:rPr>
        <w:t>（4）</w:t>
      </w:r>
      <w:r>
        <w:rPr>
          <w:rFonts w:hint="eastAsia" w:ascii="楷体" w:hAnsi="楷体" w:eastAsia="楷体" w:cs="黑体"/>
          <w:sz w:val="32"/>
          <w:szCs w:val="32"/>
        </w:rPr>
        <w:t>联网直报情况</w:t>
      </w:r>
    </w:p>
    <w:p>
      <w:pPr>
        <w:ind w:firstLine="640" w:firstLineChars="200"/>
        <w:rPr>
          <w:rFonts w:ascii="仿宋_GB2312" w:hAnsi="仿宋" w:eastAsia="仿宋_GB2312"/>
          <w:sz w:val="32"/>
          <w:szCs w:val="32"/>
        </w:rPr>
      </w:pPr>
      <w:r>
        <w:rPr>
          <w:rFonts w:hint="eastAsia" w:ascii="仿宋_GB2312" w:hAnsi="仿宋" w:eastAsia="仿宋_GB2312"/>
          <w:sz w:val="32"/>
          <w:szCs w:val="32"/>
        </w:rPr>
        <w:t>为加强202</w:t>
      </w:r>
      <w:r>
        <w:rPr>
          <w:rFonts w:ascii="仿宋_GB2312" w:hAnsi="仿宋" w:eastAsia="仿宋_GB2312"/>
          <w:sz w:val="32"/>
          <w:szCs w:val="32"/>
        </w:rPr>
        <w:t>1</w:t>
      </w:r>
      <w:r>
        <w:rPr>
          <w:rFonts w:hint="eastAsia" w:ascii="仿宋_GB2312" w:hAnsi="仿宋" w:eastAsia="仿宋_GB2312"/>
          <w:sz w:val="32"/>
          <w:szCs w:val="32"/>
        </w:rPr>
        <w:t>年“一套表”网络直报运行管理，大数据中心积极主动配合相关专业科室，重点做好网络直报平台的维护和管理工作，解决直报中存在的问题。同时，本单位各个专业也连同大数据中心按找各专业需求对各县（市）进行了相关线下、线上培训。</w:t>
      </w:r>
    </w:p>
    <w:p>
      <w:pPr>
        <w:ind w:firstLine="640" w:firstLineChars="200"/>
        <w:rPr>
          <w:rFonts w:ascii="仿宋_GB2312" w:hAnsi="仿宋" w:eastAsia="仿宋_GB2312"/>
          <w:sz w:val="32"/>
          <w:szCs w:val="32"/>
        </w:rPr>
      </w:pPr>
      <w:r>
        <w:rPr>
          <w:rFonts w:hint="eastAsia" w:ascii="仿宋_GB2312" w:hAnsi="仿宋" w:eastAsia="仿宋_GB2312"/>
          <w:sz w:val="32"/>
          <w:szCs w:val="32"/>
        </w:rPr>
        <w:t>州大数据中心按省局要求，及时将每月企业网络直报情况及存在的问题通报各相关专业，确保了网络直报质量，圆满完成了全年我州“一套表”网络直报工作。</w:t>
      </w:r>
    </w:p>
    <w:p>
      <w:pPr>
        <w:adjustRightInd w:val="0"/>
        <w:spacing w:line="540" w:lineRule="exact"/>
        <w:ind w:firstLine="640" w:firstLineChars="200"/>
        <w:rPr>
          <w:rFonts w:ascii="楷体" w:hAnsi="楷体" w:eastAsia="楷体" w:cs="黑体"/>
          <w:sz w:val="32"/>
          <w:szCs w:val="32"/>
        </w:rPr>
      </w:pPr>
      <w:r>
        <w:rPr>
          <w:rFonts w:hint="eastAsia" w:ascii="楷体" w:hAnsi="楷体" w:eastAsia="楷体" w:cs="黑体"/>
          <w:sz w:val="32"/>
          <w:szCs w:val="32"/>
        </w:rPr>
        <w:t>（</w:t>
      </w:r>
      <w:r>
        <w:rPr>
          <w:rFonts w:ascii="楷体" w:hAnsi="楷体" w:eastAsia="楷体" w:cs="黑体"/>
          <w:sz w:val="32"/>
          <w:szCs w:val="32"/>
        </w:rPr>
        <w:t>5</w:t>
      </w:r>
      <w:r>
        <w:rPr>
          <w:rFonts w:hint="eastAsia" w:ascii="楷体" w:hAnsi="楷体" w:eastAsia="楷体" w:cs="黑体"/>
          <w:sz w:val="32"/>
          <w:szCs w:val="32"/>
        </w:rPr>
        <w:t>）保障网络安全运行</w:t>
      </w:r>
    </w:p>
    <w:p>
      <w:pPr>
        <w:ind w:firstLine="640" w:firstLineChars="200"/>
        <w:rPr>
          <w:rFonts w:ascii="仿宋_GB2312" w:hAnsi="仿宋" w:eastAsia="仿宋_GB2312"/>
          <w:sz w:val="32"/>
          <w:szCs w:val="32"/>
        </w:rPr>
      </w:pPr>
      <w:r>
        <w:rPr>
          <w:rFonts w:hint="eastAsia" w:ascii="仿宋_GB2312" w:hAnsi="仿宋" w:eastAsia="仿宋_GB2312"/>
          <w:sz w:val="32"/>
          <w:szCs w:val="32"/>
        </w:rPr>
        <w:t>本年度，继续确保以统计信息网络安全运行为中心，认真落实网络安全责任制度，实行各科室负责人网络安全责任制，提高全局职工安全防范意识。规范信息发布报送制度，实行相关领导审签、专人登记、加载和管理。做好服务器的密码口令保护，漏洞升级和木马防范；督促和检查VRV和EDR升级和运行情况，有效地预防了计算机“黑客”和“病毒”的攻击。</w:t>
      </w:r>
    </w:p>
    <w:p>
      <w:pPr>
        <w:adjustRightInd w:val="0"/>
        <w:spacing w:line="540" w:lineRule="exact"/>
        <w:ind w:firstLine="640" w:firstLineChars="200"/>
        <w:rPr>
          <w:rFonts w:ascii="楷体" w:hAnsi="楷体" w:eastAsia="楷体" w:cs="黑体"/>
          <w:sz w:val="32"/>
          <w:szCs w:val="32"/>
        </w:rPr>
      </w:pPr>
      <w:r>
        <w:rPr>
          <w:rFonts w:hint="eastAsia" w:ascii="楷体" w:hAnsi="楷体" w:eastAsia="楷体" w:cs="黑体"/>
          <w:sz w:val="32"/>
          <w:szCs w:val="32"/>
        </w:rPr>
        <w:t>（</w:t>
      </w:r>
      <w:r>
        <w:rPr>
          <w:rFonts w:ascii="楷体" w:hAnsi="楷体" w:eastAsia="楷体" w:cs="黑体"/>
          <w:sz w:val="32"/>
          <w:szCs w:val="32"/>
        </w:rPr>
        <w:t>6</w:t>
      </w:r>
      <w:r>
        <w:rPr>
          <w:rFonts w:hint="eastAsia" w:ascii="楷体" w:hAnsi="楷体" w:eastAsia="楷体" w:cs="黑体"/>
          <w:sz w:val="32"/>
          <w:szCs w:val="32"/>
        </w:rPr>
        <w:t>）加强网络安全硬件设施配置</w:t>
      </w:r>
    </w:p>
    <w:p>
      <w:pPr>
        <w:adjustRightInd w:val="0"/>
        <w:spacing w:line="540" w:lineRule="exact"/>
        <w:ind w:firstLine="640" w:firstLineChars="200"/>
        <w:rPr>
          <w:rFonts w:ascii="仿宋_GB2312" w:hAnsi="仿宋" w:eastAsia="仿宋_GB2312"/>
          <w:sz w:val="32"/>
          <w:szCs w:val="32"/>
        </w:rPr>
      </w:pPr>
      <w:r>
        <w:rPr>
          <w:rFonts w:hint="eastAsia" w:ascii="仿宋_GB2312" w:hAnsi="仿宋" w:eastAsia="仿宋_GB2312"/>
          <w:sz w:val="32"/>
          <w:szCs w:val="32"/>
        </w:rPr>
        <w:t>今年，我局启动了网络二级等保测评工作，投入资金</w:t>
      </w:r>
      <w:r>
        <w:rPr>
          <w:rFonts w:ascii="仿宋_GB2312" w:hAnsi="仿宋" w:eastAsia="仿宋_GB2312"/>
          <w:sz w:val="32"/>
          <w:szCs w:val="32"/>
        </w:rPr>
        <w:t>50</w:t>
      </w:r>
      <w:r>
        <w:rPr>
          <w:rFonts w:hint="eastAsia" w:ascii="仿宋_GB2312" w:hAnsi="仿宋" w:eastAsia="仿宋_GB2312"/>
          <w:sz w:val="32"/>
          <w:szCs w:val="32"/>
        </w:rPr>
        <w:t>余万元购置防火墙、上网行为管理、日志审计等相应设备。</w:t>
      </w:r>
    </w:p>
    <w:p>
      <w:pPr>
        <w:adjustRightInd w:val="0"/>
        <w:spacing w:line="54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7</w:t>
      </w:r>
      <w:r>
        <w:rPr>
          <w:rFonts w:hint="eastAsia" w:eastAsia="仿宋_GB2312"/>
          <w:sz w:val="32"/>
          <w:szCs w:val="32"/>
        </w:rPr>
        <w:t>）加强网站建设</w:t>
      </w:r>
    </w:p>
    <w:p>
      <w:pPr>
        <w:ind w:firstLine="640" w:firstLineChars="200"/>
        <w:rPr>
          <w:rFonts w:ascii="仿宋_GB2312" w:hAnsi="仿宋" w:eastAsia="仿宋_GB2312"/>
          <w:sz w:val="32"/>
          <w:szCs w:val="32"/>
        </w:rPr>
      </w:pPr>
      <w:r>
        <w:rPr>
          <w:rFonts w:hint="eastAsia" w:ascii="仿宋_GB2312" w:hAnsi="仿宋" w:eastAsia="仿宋_GB2312"/>
          <w:sz w:val="32"/>
          <w:szCs w:val="32"/>
        </w:rPr>
        <w:t>我局进一步加强完善了我州统计信息发布报送制度，在各科室落实信息报送责任人，并统一由本单位大数据中心专人发布。大大提高了信息质量和数量。</w:t>
      </w:r>
    </w:p>
    <w:p>
      <w:pPr>
        <w:pStyle w:val="8"/>
        <w:ind w:left="640" w:firstLine="0" w:firstLineChars="0"/>
        <w:rPr>
          <w:rFonts w:ascii="仿宋_GB2312" w:hAnsi="黑体" w:eastAsia="仿宋_GB2312"/>
          <w:sz w:val="32"/>
          <w:szCs w:val="32"/>
        </w:rPr>
      </w:pPr>
      <w:r>
        <w:rPr>
          <w:rFonts w:hint="eastAsia" w:ascii="楷体_GB2312" w:hAnsi="楷体_GB2312" w:eastAsia="楷体_GB2312" w:cs="楷体_GB2312"/>
          <w:b/>
          <w:bCs/>
          <w:sz w:val="32"/>
          <w:szCs w:val="32"/>
        </w:rPr>
        <w:t>（二）项目效益情况</w:t>
      </w:r>
    </w:p>
    <w:p>
      <w:pPr>
        <w:ind w:firstLine="640" w:firstLineChars="200"/>
        <w:rPr>
          <w:rFonts w:ascii="仿宋_GB2312" w:hAnsi="仿宋" w:eastAsia="仿宋_GB2312"/>
          <w:sz w:val="32"/>
          <w:szCs w:val="32"/>
        </w:rPr>
      </w:pPr>
      <w:r>
        <w:rPr>
          <w:rFonts w:ascii="仿宋_GB2312" w:hAnsi="黑体" w:eastAsia="仿宋_GB2312"/>
          <w:sz w:val="32"/>
          <w:szCs w:val="32"/>
        </w:rPr>
        <w:t>通过几年资金的投入本</w:t>
      </w:r>
      <w:r>
        <w:rPr>
          <w:rFonts w:hint="eastAsia" w:ascii="仿宋_GB2312" w:hAnsi="黑体" w:eastAsia="仿宋_GB2312"/>
          <w:sz w:val="32"/>
          <w:szCs w:val="32"/>
        </w:rPr>
        <w:t>单位</w:t>
      </w:r>
      <w:r>
        <w:rPr>
          <w:rFonts w:ascii="仿宋_GB2312" w:hAnsi="黑体" w:eastAsia="仿宋_GB2312"/>
          <w:sz w:val="32"/>
          <w:szCs w:val="32"/>
        </w:rPr>
        <w:t>信息化建设得到大力提升</w:t>
      </w:r>
      <w:r>
        <w:rPr>
          <w:rFonts w:hint="eastAsia" w:ascii="仿宋_GB2312" w:hAnsi="黑体" w:eastAsia="仿宋_GB2312"/>
          <w:sz w:val="32"/>
          <w:szCs w:val="32"/>
        </w:rPr>
        <w:t>。</w:t>
      </w:r>
      <w:r>
        <w:rPr>
          <w:rFonts w:hint="eastAsia" w:ascii="仿宋_GB2312" w:hAnsi="仿宋" w:eastAsia="仿宋_GB2312"/>
          <w:sz w:val="32"/>
          <w:szCs w:val="32"/>
        </w:rPr>
        <w:t>我从网络安全防护保障视角，对现有统计网络结构的规范性、安全性、可靠性、扩展性进行充分论证，规划出容量大、效率高、运行稳定、使用安全的统计网络结构。</w:t>
      </w:r>
      <w:r>
        <w:rPr>
          <w:rFonts w:hint="eastAsia" w:ascii="仿宋_GB2312" w:hAnsi="黑体" w:eastAsia="仿宋_GB2312"/>
          <w:sz w:val="32"/>
          <w:szCs w:val="32"/>
        </w:rPr>
        <w:t>充</w:t>
      </w:r>
      <w:r>
        <w:rPr>
          <w:rFonts w:hint="eastAsia" w:ascii="仿宋_GB2312" w:hAnsi="仿宋_GB2312" w:eastAsia="仿宋_GB2312" w:cs="仿宋_GB2312"/>
          <w:kern w:val="0"/>
          <w:sz w:val="32"/>
          <w:szCs w:val="32"/>
        </w:rPr>
        <w:t>分保障了信息化建设各项工作顺利开展。</w:t>
      </w:r>
      <w:r>
        <w:rPr>
          <w:rFonts w:hint="eastAsia" w:ascii="仿宋_GB2312" w:hAnsi="仿宋" w:eastAsia="仿宋_GB2312"/>
          <w:sz w:val="32"/>
          <w:szCs w:val="32"/>
        </w:rPr>
        <w:t>有效地预防了计算机“黑客”和“病毒”的攻击。大大提高了信息质量和数量。</w:t>
      </w:r>
      <w:r>
        <w:rPr>
          <w:rFonts w:hint="eastAsia" w:ascii="仿宋_GB2312" w:hAnsi="黑体" w:eastAsia="仿宋_GB2312"/>
          <w:sz w:val="32"/>
          <w:szCs w:val="32"/>
        </w:rPr>
        <w:t>满意度达9</w:t>
      </w:r>
      <w:r>
        <w:rPr>
          <w:rFonts w:ascii="仿宋_GB2312" w:hAnsi="黑体" w:eastAsia="仿宋_GB2312"/>
          <w:sz w:val="32"/>
          <w:szCs w:val="32"/>
        </w:rPr>
        <w:t>5%以上。实现了年初预</w:t>
      </w:r>
      <w:r>
        <w:rPr>
          <w:rFonts w:hint="eastAsia" w:ascii="仿宋_GB2312" w:hAnsi="黑体" w:eastAsia="仿宋_GB2312"/>
          <w:sz w:val="32"/>
          <w:szCs w:val="32"/>
        </w:rPr>
        <w:t>定</w:t>
      </w:r>
      <w:r>
        <w:rPr>
          <w:rFonts w:ascii="仿宋_GB2312" w:hAnsi="黑体" w:eastAsia="仿宋_GB2312"/>
          <w:sz w:val="32"/>
          <w:szCs w:val="32"/>
        </w:rPr>
        <w:t>目标。</w:t>
      </w:r>
    </w:p>
    <w:p>
      <w:pPr>
        <w:ind w:firstLine="643" w:firstLineChars="200"/>
        <w:rPr>
          <w:rFonts w:ascii="黑体" w:hAnsi="黑体" w:eastAsia="黑体"/>
          <w:sz w:val="32"/>
          <w:szCs w:val="32"/>
        </w:rPr>
      </w:pPr>
      <w:r>
        <w:rPr>
          <w:rFonts w:hint="eastAsia" w:ascii="黑体" w:hAnsi="黑体" w:eastAsia="黑体"/>
          <w:b/>
          <w:bCs/>
          <w:sz w:val="32"/>
          <w:szCs w:val="32"/>
        </w:rPr>
        <w:t>四、问题及建议</w:t>
      </w:r>
    </w:p>
    <w:p>
      <w:pPr>
        <w:ind w:firstLine="643" w:firstLineChars="200"/>
        <w:rPr>
          <w:rFonts w:ascii="仿宋_GB2312" w:hAnsi="黑体" w:eastAsia="仿宋_GB2312"/>
          <w:sz w:val="32"/>
          <w:szCs w:val="32"/>
        </w:rPr>
      </w:pPr>
      <w:r>
        <w:rPr>
          <w:rFonts w:hint="eastAsia" w:ascii="楷体_GB2312" w:hAnsi="楷体_GB2312" w:eastAsia="楷体_GB2312" w:cs="楷体_GB2312"/>
          <w:b/>
          <w:bCs/>
          <w:sz w:val="32"/>
          <w:szCs w:val="32"/>
        </w:rPr>
        <w:t>（一）存在的问题</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由于甘孜州各县（市）局信息化建设较为落后，队伍人员缺乏专业技术，较省局的要求相比还存在一定差距。同时，在系统开发、维护、网络安全和创新方面等还有待进一步加强。</w:t>
      </w:r>
    </w:p>
    <w:p>
      <w:pPr>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（二）相关建议</w:t>
      </w:r>
    </w:p>
    <w:p>
      <w:pPr>
        <w:spacing w:line="540" w:lineRule="exact"/>
        <w:ind w:firstLine="640" w:firstLineChars="200"/>
        <w:rPr>
          <w:rFonts w:hint="eastAsia" w:ascii="Calibri" w:hAnsi="Calibri" w:eastAsia="仿宋_GB2312"/>
          <w:sz w:val="32"/>
          <w:szCs w:val="32"/>
        </w:rPr>
      </w:pPr>
      <w:r>
        <w:rPr>
          <w:rFonts w:hint="eastAsia" w:ascii="仿宋_GB2312" w:eastAsia="仿宋_GB2312"/>
          <w:sz w:val="32"/>
          <w:szCs w:val="32"/>
        </w:rPr>
        <w:t>进一步完善相关网络制度和人员培训及管理，不断夯实全州统计信息化建设。同时，</w:t>
      </w:r>
      <w:r>
        <w:rPr>
          <w:rFonts w:hint="eastAsia" w:ascii="Calibri" w:hAnsi="Calibri" w:eastAsia="仿宋_GB2312"/>
          <w:sz w:val="32"/>
          <w:szCs w:val="32"/>
        </w:rPr>
        <w:t>按照省局、州委州政府有关文件要求，建立健全完善网络安全工作制度和工作机制，强化网络信息安全工作责任分工。</w:t>
      </w:r>
    </w:p>
    <w:p>
      <w:pPr>
        <w:spacing w:line="540" w:lineRule="exact"/>
        <w:ind w:firstLine="640" w:firstLineChars="200"/>
        <w:rPr>
          <w:rFonts w:hint="eastAsia" w:ascii="Calibri" w:hAnsi="Calibri" w:eastAsia="仿宋_GB2312"/>
          <w:sz w:val="32"/>
          <w:szCs w:val="32"/>
          <w:lang w:eastAsia="zh-CN"/>
        </w:rPr>
      </w:pPr>
    </w:p>
    <w:p>
      <w:pPr>
        <w:spacing w:line="540" w:lineRule="exact"/>
        <w:ind w:firstLine="640" w:firstLineChars="200"/>
        <w:rPr>
          <w:rFonts w:hint="eastAsia" w:ascii="Calibri" w:hAnsi="Calibri" w:eastAsia="仿宋_GB2312"/>
          <w:sz w:val="32"/>
          <w:szCs w:val="32"/>
          <w:lang w:eastAsia="zh-CN"/>
        </w:rPr>
      </w:pPr>
      <w:r>
        <w:rPr>
          <w:rFonts w:hint="eastAsia" w:ascii="Calibri" w:hAnsi="Calibri" w:eastAsia="仿宋_GB2312"/>
          <w:sz w:val="32"/>
          <w:szCs w:val="32"/>
          <w:lang w:eastAsia="zh-CN"/>
        </w:rPr>
        <w:t>附件：项目支出绩效目标自评表</w:t>
      </w:r>
    </w:p>
    <w:p>
      <w:pPr>
        <w:spacing w:line="540" w:lineRule="exact"/>
        <w:ind w:firstLine="640" w:firstLineChars="200"/>
        <w:rPr>
          <w:rFonts w:hint="eastAsia" w:ascii="Calibri" w:hAnsi="Calibri" w:eastAsia="仿宋_GB2312"/>
          <w:sz w:val="32"/>
          <w:szCs w:val="32"/>
        </w:rPr>
      </w:pPr>
    </w:p>
    <w:p>
      <w:pPr>
        <w:spacing w:line="540" w:lineRule="exact"/>
        <w:ind w:firstLine="640" w:firstLineChars="200"/>
        <w:rPr>
          <w:rFonts w:hint="eastAsia" w:ascii="Calibri" w:hAnsi="Calibri" w:eastAsia="仿宋_GB2312"/>
          <w:sz w:val="32"/>
          <w:szCs w:val="32"/>
        </w:rPr>
      </w:pPr>
    </w:p>
    <w:p>
      <w:pPr>
        <w:spacing w:line="540" w:lineRule="exact"/>
        <w:ind w:firstLine="640" w:firstLineChars="200"/>
        <w:rPr>
          <w:rFonts w:hint="eastAsia" w:ascii="Calibri" w:hAnsi="Calibri" w:eastAsia="仿宋_GB2312"/>
          <w:sz w:val="32"/>
          <w:szCs w:val="32"/>
        </w:rPr>
      </w:pPr>
    </w:p>
    <w:p>
      <w:pPr>
        <w:spacing w:line="56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甘孜藏族自治州统计局</w:t>
      </w:r>
    </w:p>
    <w:p>
      <w:pPr>
        <w:rPr>
          <w:rFonts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14:textFill>
            <w14:solidFill>
              <w14:schemeClr w14:val="tx1"/>
            </w14:solidFill>
          </w14:textFill>
        </w:rPr>
        <w:t>202</w:t>
      </w:r>
      <w:r>
        <w:rPr>
          <w:rFonts w:ascii="仿宋_GB2312" w:hAnsi="仿宋_GB2312" w:eastAsia="仿宋_GB2312" w:cs="仿宋_GB2312"/>
          <w:color w:val="000000" w:themeColor="text1"/>
          <w:sz w:val="32"/>
          <w:szCs w:val="32"/>
          <w14:textFill>
            <w14:solidFill>
              <w14:schemeClr w14:val="tx1"/>
            </w14:solidFill>
          </w14:textFill>
        </w:rPr>
        <w:t>2</w:t>
      </w:r>
      <w:r>
        <w:rPr>
          <w:rFonts w:hint="eastAsia" w:ascii="仿宋_GB2312" w:hAnsi="仿宋_GB2312" w:eastAsia="仿宋_GB2312" w:cs="仿宋_GB2312"/>
          <w:color w:val="000000" w:themeColor="text1"/>
          <w:sz w:val="32"/>
          <w:szCs w:val="32"/>
          <w14:textFill>
            <w14:solidFill>
              <w14:schemeClr w14:val="tx1"/>
            </w14:solidFill>
          </w14:textFill>
        </w:rPr>
        <w:t>年</w:t>
      </w:r>
      <w:r>
        <w:rPr>
          <w:rFonts w:ascii="仿宋_GB2312" w:hAnsi="仿宋_GB2312" w:eastAsia="仿宋_GB2312" w:cs="仿宋_GB2312"/>
          <w:color w:val="000000" w:themeColor="text1"/>
          <w:sz w:val="32"/>
          <w:szCs w:val="32"/>
          <w14:textFill>
            <w14:solidFill>
              <w14:schemeClr w14:val="tx1"/>
            </w14:solidFill>
          </w14:textFill>
        </w:rPr>
        <w:t>3</w:t>
      </w:r>
      <w:r>
        <w:rPr>
          <w:rFonts w:hint="eastAsia" w:ascii="仿宋_GB2312" w:hAnsi="仿宋_GB2312" w:eastAsia="仿宋_GB2312" w:cs="仿宋_GB2312"/>
          <w:color w:val="000000" w:themeColor="text1"/>
          <w:sz w:val="32"/>
          <w:szCs w:val="32"/>
          <w14:textFill>
            <w14:solidFill>
              <w14:schemeClr w14:val="tx1"/>
            </w14:solidFill>
          </w14:textFill>
        </w:rPr>
        <w:t>月</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8</w:t>
      </w:r>
      <w:r>
        <w:rPr>
          <w:rFonts w:ascii="仿宋_GB2312" w:hAnsi="仿宋_GB2312" w:eastAsia="仿宋_GB2312" w:cs="仿宋_GB2312"/>
          <w:color w:val="000000" w:themeColor="text1"/>
          <w:sz w:val="32"/>
          <w:szCs w:val="32"/>
          <w14:textFill>
            <w14:solidFill>
              <w14:schemeClr w14:val="tx1"/>
            </w14:solidFill>
          </w14:textFill>
        </w:rPr>
        <w:t>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- 5 -</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rPr>
                        <w:rFonts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ascii="仿宋_GB2312" w:hAnsi="仿宋_GB2312" w:eastAsia="仿宋_GB2312" w:cs="仿宋_GB2312"/>
                        <w:sz w:val="28"/>
                        <w:szCs w:val="28"/>
                      </w:rPr>
                      <w:t>- 5 -</w:t>
                    </w:r>
                    <w:r>
                      <w:rPr>
                        <w:rFonts w:hint="eastAsia" w:ascii="仿宋_GB2312" w:hAnsi="仿宋_GB2312" w:eastAsia="仿宋_GB2312" w:cs="仿宋_GB2312"/>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FB0"/>
    <w:rsid w:val="000753EE"/>
    <w:rsid w:val="00085458"/>
    <w:rsid w:val="0017476E"/>
    <w:rsid w:val="001755B5"/>
    <w:rsid w:val="002C71DC"/>
    <w:rsid w:val="002F1F19"/>
    <w:rsid w:val="00330727"/>
    <w:rsid w:val="003E37D8"/>
    <w:rsid w:val="00461A1E"/>
    <w:rsid w:val="00575125"/>
    <w:rsid w:val="00724B76"/>
    <w:rsid w:val="007621C3"/>
    <w:rsid w:val="007A5FB0"/>
    <w:rsid w:val="008009F6"/>
    <w:rsid w:val="00801DC0"/>
    <w:rsid w:val="0083549E"/>
    <w:rsid w:val="0089715C"/>
    <w:rsid w:val="0097315B"/>
    <w:rsid w:val="00A4610E"/>
    <w:rsid w:val="00B567E8"/>
    <w:rsid w:val="00B75258"/>
    <w:rsid w:val="00BF1ECE"/>
    <w:rsid w:val="00C02801"/>
    <w:rsid w:val="00C406D7"/>
    <w:rsid w:val="00C47B05"/>
    <w:rsid w:val="00E1430D"/>
    <w:rsid w:val="00E52846"/>
    <w:rsid w:val="00E54D68"/>
    <w:rsid w:val="00E60D88"/>
    <w:rsid w:val="00E80BC6"/>
    <w:rsid w:val="00E824C7"/>
    <w:rsid w:val="00EC42B9"/>
    <w:rsid w:val="00ED326D"/>
    <w:rsid w:val="00F1311F"/>
    <w:rsid w:val="00F35D50"/>
    <w:rsid w:val="00F97AEC"/>
    <w:rsid w:val="00FA79EE"/>
    <w:rsid w:val="11434AE8"/>
    <w:rsid w:val="556F799A"/>
    <w:rsid w:val="63D429C5"/>
    <w:rsid w:val="739B5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C36F88-8A17-4C14-B87F-37F9DD9989F5}">
  <ds:schemaRefs/>
</ds:datastoreItem>
</file>

<file path=docProps/app.xml><?xml version="1.0" encoding="utf-8"?>
<Properties xmlns="http://schemas.openxmlformats.org/officeDocument/2006/extended-properties" xmlns:vt="http://schemas.openxmlformats.org/officeDocument/2006/docPropsVTypes">
  <Template>Normal.dotm</Template>
  <Company>国家统计局</Company>
  <Pages>6</Pages>
  <Words>2325</Words>
  <Characters>2426</Characters>
  <Lines>17</Lines>
  <Paragraphs>4</Paragraphs>
  <TotalTime>0</TotalTime>
  <ScaleCrop>false</ScaleCrop>
  <LinksUpToDate>false</LinksUpToDate>
  <CharactersWithSpaces>2522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2022-03-04T07:57:00Z</dcterms:created>
  <dc:creator>办公室:袁国淑</dc:creator>
  <cp:lastModifiedBy>Administrator</cp:lastModifiedBy>
  <cp:lastPrinted>2022-03-09T08:35:00Z</cp:lastPrinted>
  <dcterms:modified xsi:type="dcterms:W3CDTF">2022-03-09T08:51:31Z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