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color w:val="000000"/>
          <w:sz w:val="32"/>
        </w:rPr>
      </w:pPr>
    </w:p>
    <w:p>
      <w:pPr>
        <w:spacing w:line="560" w:lineRule="exact"/>
        <w:ind w:firstLine="640" w:firstLineChars="200"/>
        <w:rPr>
          <w:rFonts w:ascii="仿宋_GB2312" w:eastAsia="仿宋_GB2312"/>
          <w:color w:val="000000"/>
          <w:sz w:val="32"/>
        </w:rPr>
      </w:pPr>
      <w:bookmarkStart w:id="0" w:name="_GoBack"/>
      <w:bookmarkEnd w:id="0"/>
    </w:p>
    <w:p>
      <w:pPr>
        <w:spacing w:line="560" w:lineRule="exact"/>
        <w:ind w:firstLine="640" w:firstLineChars="200"/>
        <w:rPr>
          <w:rFonts w:ascii="仿宋_GB2312" w:eastAsia="仿宋_GB2312"/>
          <w:color w:val="000000"/>
          <w:sz w:val="32"/>
        </w:rPr>
      </w:pPr>
    </w:p>
    <w:p>
      <w:pPr>
        <w:spacing w:line="560" w:lineRule="exact"/>
        <w:rPr>
          <w:rFonts w:ascii="仿宋_GB2312" w:eastAsia="仿宋_GB2312"/>
          <w:color w:val="000000"/>
          <w:sz w:val="32"/>
        </w:rPr>
      </w:pPr>
    </w:p>
    <w:p>
      <w:pPr>
        <w:spacing w:line="560" w:lineRule="exact"/>
        <w:ind w:firstLine="160" w:firstLineChars="50"/>
        <w:jc w:val="center"/>
        <w:rPr>
          <w:rFonts w:ascii="仿宋_GB2312" w:eastAsia="仿宋_GB2312"/>
          <w:color w:val="000000"/>
          <w:sz w:val="32"/>
        </w:rPr>
      </w:pPr>
      <w:r>
        <w:rPr>
          <w:rFonts w:hint="eastAsia" w:ascii="仿宋_GB2312" w:eastAsia="仿宋_GB2312"/>
          <w:color w:val="000000"/>
          <w:sz w:val="32"/>
        </w:rPr>
        <w:t xml:space="preserve">          </w:t>
      </w:r>
    </w:p>
    <w:p>
      <w:pPr>
        <w:spacing w:line="560" w:lineRule="exact"/>
        <w:ind w:firstLine="160" w:firstLineChars="50"/>
        <w:jc w:val="center"/>
        <w:rPr>
          <w:rFonts w:ascii="仿宋_GB2312" w:eastAsia="仿宋_GB2312"/>
          <w:color w:val="000000"/>
          <w:sz w:val="32"/>
        </w:rPr>
      </w:pPr>
    </w:p>
    <w:p>
      <w:pPr>
        <w:spacing w:line="560" w:lineRule="exact"/>
        <w:ind w:firstLine="160" w:firstLineChars="50"/>
        <w:jc w:val="center"/>
        <w:rPr>
          <w:rFonts w:ascii="仿宋_GB2312" w:eastAsia="仿宋_GB2312"/>
          <w:color w:val="000000"/>
          <w:sz w:val="32"/>
        </w:rPr>
      </w:pPr>
      <w:r>
        <w:rPr>
          <w:rFonts w:hint="eastAsia" w:ascii="仿宋_GB2312" w:eastAsia="仿宋_GB2312"/>
          <w:color w:val="000000"/>
          <w:sz w:val="32"/>
        </w:rPr>
        <w:t xml:space="preserve">                              甘统计函〔2022〕</w:t>
      </w:r>
      <w:r>
        <w:rPr>
          <w:rFonts w:hint="eastAsia" w:ascii="仿宋_GB2312" w:eastAsia="仿宋_GB2312"/>
          <w:color w:val="000000"/>
          <w:sz w:val="32"/>
          <w:lang w:val="en-US" w:eastAsia="zh-CN"/>
        </w:rPr>
        <w:t>22</w:t>
      </w:r>
      <w:r>
        <w:rPr>
          <w:rFonts w:hint="eastAsia" w:ascii="仿宋_GB2312" w:eastAsia="仿宋_GB2312"/>
          <w:color w:val="000000"/>
          <w:sz w:val="32"/>
        </w:rPr>
        <w:t>号</w:t>
      </w:r>
    </w:p>
    <w:p>
      <w:pPr>
        <w:spacing w:line="560" w:lineRule="exact"/>
        <w:rPr>
          <w:rFonts w:ascii="方正小标宋简体" w:hAnsi="方正小标宋简体" w:eastAsia="方正小标宋简体" w:cs="方正小标宋简体"/>
          <w:b/>
          <w:color w:val="000000"/>
          <w:sz w:val="44"/>
          <w:szCs w:val="44"/>
        </w:rPr>
      </w:pPr>
    </w:p>
    <w:p>
      <w:pPr>
        <w:widowControl/>
        <w:jc w:val="left"/>
        <w:rPr>
          <w:rFonts w:ascii="宋体" w:hAnsi="宋体" w:cs="宋体"/>
          <w:color w:val="000000"/>
          <w:kern w:val="0"/>
          <w:sz w:val="24"/>
          <w:szCs w:val="24"/>
        </w:rPr>
      </w:pPr>
    </w:p>
    <w:p>
      <w:pPr>
        <w:spacing w:line="560" w:lineRule="exact"/>
        <w:jc w:val="center"/>
        <w:rPr>
          <w:rFonts w:ascii="方正小标宋简体" w:hAnsi="宋体" w:eastAsia="方正小标宋简体"/>
          <w:b/>
          <w:bCs/>
          <w:sz w:val="44"/>
          <w:szCs w:val="44"/>
        </w:rPr>
      </w:pPr>
      <w:r>
        <w:rPr>
          <w:rFonts w:hint="eastAsia" w:ascii="方正小标宋_GBK" w:hAnsi="Times New Roman" w:eastAsia="方正小标宋_GBK"/>
          <w:b/>
          <w:bCs/>
          <w:sz w:val="44"/>
          <w:szCs w:val="32"/>
        </w:rPr>
        <w:t>甘孜藏族自治州统计局</w:t>
      </w:r>
    </w:p>
    <w:p>
      <w:pPr>
        <w:spacing w:line="620" w:lineRule="exact"/>
        <w:jc w:val="center"/>
        <w:rPr>
          <w:rFonts w:ascii="方正小标宋简体" w:hAnsi="宋体" w:eastAsia="方正小标宋简体"/>
          <w:b/>
          <w:bCs/>
          <w:sz w:val="44"/>
          <w:szCs w:val="44"/>
        </w:rPr>
      </w:pPr>
      <w:r>
        <w:rPr>
          <w:rFonts w:ascii="方正小标宋简体" w:hAnsi="宋体" w:eastAsia="方正小标宋简体"/>
          <w:b/>
          <w:bCs/>
          <w:sz w:val="44"/>
          <w:szCs w:val="44"/>
        </w:rPr>
        <w:t>2021年度项目支出绩效自评报告</w:t>
      </w:r>
    </w:p>
    <w:p>
      <w:pPr>
        <w:spacing w:line="620" w:lineRule="exact"/>
        <w:jc w:val="center"/>
        <w:rPr>
          <w:rFonts w:ascii="仿宋_GB2312" w:hAnsi="宋体" w:eastAsia="仿宋_GB2312"/>
          <w:sz w:val="32"/>
          <w:szCs w:val="32"/>
        </w:rPr>
      </w:pPr>
      <w:r>
        <w:rPr>
          <w:rFonts w:hint="eastAsia" w:ascii="仿宋_GB2312" w:hAnsi="宋体" w:eastAsia="仿宋_GB2312"/>
          <w:sz w:val="32"/>
          <w:szCs w:val="32"/>
        </w:rPr>
        <w:t>（各项统计工作专项经费）</w:t>
      </w:r>
    </w:p>
    <w:p>
      <w:pPr>
        <w:ind w:firstLine="640" w:firstLineChars="200"/>
        <w:rPr>
          <w:rFonts w:ascii="黑体" w:hAnsi="黑体" w:eastAsia="黑体"/>
          <w:sz w:val="32"/>
          <w:szCs w:val="32"/>
        </w:rPr>
      </w:pPr>
    </w:p>
    <w:p>
      <w:pPr>
        <w:spacing w:line="560" w:lineRule="exact"/>
        <w:ind w:firstLine="643"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一、项目概况</w:t>
      </w:r>
    </w:p>
    <w:p>
      <w:pPr>
        <w:spacing w:line="560" w:lineRule="exact"/>
        <w:ind w:firstLine="643" w:firstLineChars="200"/>
        <w:rPr>
          <w:rFonts w:ascii="仿宋_GB2312" w:hAnsi="黑体"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（一）项目资金申报及批复情况。</w:t>
      </w:r>
      <w:r>
        <w:rPr>
          <w:rFonts w:hint="eastAsia" w:ascii="仿宋_GB2312" w:hAnsi="黑体" w:eastAsia="仿宋_GB2312"/>
          <w:color w:val="000000" w:themeColor="text1"/>
          <w:sz w:val="32"/>
          <w:szCs w:val="32"/>
          <w14:textFill>
            <w14:solidFill>
              <w14:schemeClr w14:val="tx1"/>
            </w14:solidFill>
          </w14:textFill>
        </w:rPr>
        <w:t>2</w:t>
      </w:r>
      <w:r>
        <w:rPr>
          <w:rFonts w:ascii="仿宋_GB2312" w:hAnsi="黑体" w:eastAsia="仿宋_GB2312"/>
          <w:color w:val="000000" w:themeColor="text1"/>
          <w:sz w:val="32"/>
          <w:szCs w:val="32"/>
          <w14:textFill>
            <w14:solidFill>
              <w14:schemeClr w14:val="tx1"/>
            </w14:solidFill>
          </w14:textFill>
        </w:rPr>
        <w:t>021年本单位</w:t>
      </w:r>
      <w:r>
        <w:rPr>
          <w:rFonts w:hint="eastAsia" w:ascii="仿宋_GB2312" w:hAnsi="黑体" w:eastAsia="仿宋_GB2312"/>
          <w:color w:val="000000" w:themeColor="text1"/>
          <w:sz w:val="32"/>
          <w:szCs w:val="32"/>
          <w14:textFill>
            <w14:solidFill>
              <w14:schemeClr w14:val="tx1"/>
            </w14:solidFill>
          </w14:textFill>
        </w:rPr>
        <w:t>各项</w:t>
      </w:r>
      <w:r>
        <w:rPr>
          <w:rFonts w:ascii="仿宋_GB2312" w:hAnsi="黑体" w:eastAsia="仿宋_GB2312"/>
          <w:color w:val="000000" w:themeColor="text1"/>
          <w:sz w:val="32"/>
          <w:szCs w:val="32"/>
          <w14:textFill>
            <w14:solidFill>
              <w14:schemeClr w14:val="tx1"/>
            </w14:solidFill>
          </w14:textFill>
        </w:rPr>
        <w:t>统计工作专项经费60.00万元，州本级财政批复60.00万元</w:t>
      </w:r>
      <w:r>
        <w:rPr>
          <w:rFonts w:hint="eastAsia" w:ascii="仿宋_GB2312" w:hAnsi="黑体" w:eastAsia="仿宋_GB2312"/>
          <w:color w:val="000000" w:themeColor="text1"/>
          <w:sz w:val="32"/>
          <w:szCs w:val="32"/>
          <w14:textFill>
            <w14:solidFill>
              <w14:schemeClr w14:val="tx1"/>
            </w14:solidFill>
          </w14:textFill>
        </w:rPr>
        <w:t>。</w:t>
      </w:r>
    </w:p>
    <w:p>
      <w:pPr>
        <w:spacing w:line="560" w:lineRule="exact"/>
        <w:ind w:firstLine="643" w:firstLineChars="200"/>
        <w:rPr>
          <w:rFonts w:ascii="仿宋_GB2312" w:hAnsi="黑体"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（二）项目绩效目标</w:t>
      </w:r>
    </w:p>
    <w:p>
      <w:pPr>
        <w:spacing w:line="56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1</w:t>
      </w:r>
      <w:r>
        <w:rPr>
          <w:rFonts w:ascii="仿宋_GB2312" w:hAnsi="黑体" w:eastAsia="仿宋_GB2312"/>
          <w:color w:val="000000" w:themeColor="text1"/>
          <w:sz w:val="32"/>
          <w:szCs w:val="32"/>
          <w14:textFill>
            <w14:solidFill>
              <w14:schemeClr w14:val="tx1"/>
            </w14:solidFill>
          </w14:textFill>
        </w:rPr>
        <w:t>.总体目标为：</w:t>
      </w:r>
      <w:r>
        <w:rPr>
          <w:rFonts w:hint="eastAsia" w:ascii="仿宋_GB2312" w:hAnsi="黑体" w:eastAsia="仿宋_GB2312"/>
          <w:color w:val="000000" w:themeColor="text1"/>
          <w:sz w:val="32"/>
          <w:szCs w:val="32"/>
          <w14:textFill>
            <w14:solidFill>
              <w14:schemeClr w14:val="tx1"/>
            </w14:solidFill>
          </w14:textFill>
        </w:rPr>
        <w:t>完成我局各项常规性统计工作、专项调查工作、抽样调查工作，更好的为大型普查工作奠定坚实的基础。收集各项数据指标，为各级党委、政府决策提供更有力的科学依据。</w:t>
      </w:r>
    </w:p>
    <w:p>
      <w:pPr>
        <w:spacing w:line="56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2.数量指标：工作完成率：1</w:t>
      </w:r>
      <w:r>
        <w:rPr>
          <w:rFonts w:ascii="仿宋_GB2312" w:hAnsi="黑体" w:eastAsia="仿宋_GB2312"/>
          <w:color w:val="000000" w:themeColor="text1"/>
          <w:sz w:val="32"/>
          <w:szCs w:val="32"/>
          <w14:textFill>
            <w14:solidFill>
              <w14:schemeClr w14:val="tx1"/>
            </w14:solidFill>
          </w14:textFill>
        </w:rPr>
        <w:t>00%</w:t>
      </w:r>
    </w:p>
    <w:p>
      <w:pPr>
        <w:spacing w:line="56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ascii="仿宋_GB2312" w:hAnsi="黑体" w:eastAsia="仿宋_GB2312"/>
          <w:color w:val="000000" w:themeColor="text1"/>
          <w:sz w:val="32"/>
          <w:szCs w:val="32"/>
          <w14:textFill>
            <w14:solidFill>
              <w14:schemeClr w14:val="tx1"/>
            </w14:solidFill>
          </w14:textFill>
        </w:rPr>
        <w:t>3.时效指标：</w:t>
      </w:r>
      <w:r>
        <w:rPr>
          <w:rFonts w:hint="eastAsia" w:ascii="仿宋_GB2312" w:hAnsi="黑体" w:eastAsia="仿宋_GB2312"/>
          <w:color w:val="000000" w:themeColor="text1"/>
          <w:sz w:val="32"/>
          <w:szCs w:val="32"/>
          <w14:textFill>
            <w14:solidFill>
              <w14:schemeClr w14:val="tx1"/>
            </w14:solidFill>
          </w14:textFill>
        </w:rPr>
        <w:t>工作</w:t>
      </w:r>
      <w:r>
        <w:rPr>
          <w:rFonts w:ascii="仿宋_GB2312" w:hAnsi="黑体" w:eastAsia="仿宋_GB2312"/>
          <w:color w:val="000000" w:themeColor="text1"/>
          <w:sz w:val="32"/>
          <w:szCs w:val="32"/>
          <w14:textFill>
            <w14:solidFill>
              <w14:schemeClr w14:val="tx1"/>
            </w14:solidFill>
          </w14:textFill>
        </w:rPr>
        <w:t>及时率：及时</w:t>
      </w:r>
    </w:p>
    <w:p>
      <w:pPr>
        <w:spacing w:line="56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ascii="仿宋_GB2312" w:hAnsi="黑体" w:eastAsia="仿宋_GB2312"/>
          <w:color w:val="000000" w:themeColor="text1"/>
          <w:sz w:val="32"/>
          <w:szCs w:val="32"/>
          <w14:textFill>
            <w14:solidFill>
              <w14:schemeClr w14:val="tx1"/>
            </w14:solidFill>
          </w14:textFill>
        </w:rPr>
        <w:t>4</w:t>
      </w:r>
      <w:r>
        <w:rPr>
          <w:rFonts w:hint="eastAsia" w:ascii="仿宋_GB2312" w:hAnsi="黑体" w:eastAsia="仿宋_GB2312"/>
          <w:color w:val="000000" w:themeColor="text1"/>
          <w:sz w:val="32"/>
          <w:szCs w:val="32"/>
          <w14:textFill>
            <w14:solidFill>
              <w14:schemeClr w14:val="tx1"/>
            </w14:solidFill>
          </w14:textFill>
        </w:rPr>
        <w:t>.</w:t>
      </w:r>
      <w:r>
        <w:rPr>
          <w:rFonts w:ascii="仿宋_GB2312" w:hAnsi="黑体" w:eastAsia="仿宋_GB2312"/>
          <w:color w:val="000000" w:themeColor="text1"/>
          <w:sz w:val="32"/>
          <w:szCs w:val="32"/>
          <w14:textFill>
            <w14:solidFill>
              <w14:schemeClr w14:val="tx1"/>
            </w14:solidFill>
          </w14:textFill>
        </w:rPr>
        <w:t>成本指标：</w:t>
      </w:r>
      <w:r>
        <w:rPr>
          <w:rFonts w:hint="eastAsia" w:ascii="仿宋_GB2312" w:hAnsi="黑体" w:eastAsia="仿宋_GB2312"/>
          <w:color w:val="000000" w:themeColor="text1"/>
          <w:sz w:val="32"/>
          <w:szCs w:val="32"/>
          <w14:textFill>
            <w14:solidFill>
              <w14:schemeClr w14:val="tx1"/>
            </w14:solidFill>
          </w14:textFill>
        </w:rPr>
        <w:t>各项统计工作差旅费按照甘孜藏族自治州财政局差旅费管理办法执行，各项统计工作办公费按照实际需要支出列支，各项统计工作会议费、培训费严格按照州委州政府会议、培训费管理办法执行，各项统计工作车辆运行维护费严格按照本单位车辆管理办法执行。</w:t>
      </w:r>
    </w:p>
    <w:p>
      <w:pPr>
        <w:spacing w:line="56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5</w:t>
      </w:r>
      <w:r>
        <w:rPr>
          <w:rFonts w:ascii="仿宋_GB2312" w:hAnsi="黑体" w:eastAsia="仿宋_GB2312"/>
          <w:color w:val="000000" w:themeColor="text1"/>
          <w:sz w:val="32"/>
          <w:szCs w:val="32"/>
          <w14:textFill>
            <w14:solidFill>
              <w14:schemeClr w14:val="tx1"/>
            </w14:solidFill>
          </w14:textFill>
        </w:rPr>
        <w:t>.</w:t>
      </w:r>
      <w:r>
        <w:rPr>
          <w:rFonts w:hint="eastAsia" w:ascii="仿宋_GB2312" w:hAnsi="黑体" w:eastAsia="仿宋_GB2312"/>
          <w:color w:val="000000" w:themeColor="text1"/>
          <w:sz w:val="32"/>
          <w:szCs w:val="32"/>
          <w14:textFill>
            <w14:solidFill>
              <w14:schemeClr w14:val="tx1"/>
            </w14:solidFill>
          </w14:textFill>
        </w:rPr>
        <w:t>社会效益指标：统计数据提供决策依据：有效提供</w:t>
      </w:r>
    </w:p>
    <w:p>
      <w:pPr>
        <w:spacing w:line="56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6</w:t>
      </w:r>
      <w:r>
        <w:rPr>
          <w:rFonts w:ascii="仿宋_GB2312" w:hAnsi="黑体" w:eastAsia="仿宋_GB2312"/>
          <w:color w:val="000000" w:themeColor="text1"/>
          <w:sz w:val="32"/>
          <w:szCs w:val="32"/>
          <w14:textFill>
            <w14:solidFill>
              <w14:schemeClr w14:val="tx1"/>
            </w14:solidFill>
          </w14:textFill>
        </w:rPr>
        <w:t>.</w:t>
      </w:r>
      <w:r>
        <w:rPr>
          <w:rFonts w:hint="eastAsia" w:ascii="仿宋_GB2312" w:hAnsi="黑体" w:eastAsia="仿宋_GB2312"/>
          <w:color w:val="000000" w:themeColor="text1"/>
          <w:sz w:val="32"/>
          <w:szCs w:val="32"/>
          <w14:textFill>
            <w14:solidFill>
              <w14:schemeClr w14:val="tx1"/>
            </w14:solidFill>
          </w14:textFill>
        </w:rPr>
        <w:t>可持续影响指标：影响时效：长期</w:t>
      </w:r>
    </w:p>
    <w:p>
      <w:pPr>
        <w:spacing w:line="56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7.满意度指标：群众满意度：</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_GB2312" w:hAnsi="黑体" w:eastAsia="仿宋_GB2312"/>
          <w:color w:val="000000" w:themeColor="text1"/>
          <w:sz w:val="32"/>
          <w:szCs w:val="32"/>
          <w14:textFill>
            <w14:solidFill>
              <w14:schemeClr w14:val="tx1"/>
            </w14:solidFill>
          </w14:textFill>
        </w:rPr>
        <w:t>90%</w:t>
      </w:r>
    </w:p>
    <w:p>
      <w:pPr>
        <w:spacing w:line="560" w:lineRule="exact"/>
        <w:ind w:firstLine="643" w:firstLineChars="200"/>
        <w:rPr>
          <w:rFonts w:ascii="仿宋_GB2312" w:hAnsi="黑体"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（三）项目资金申报相符性。</w:t>
      </w:r>
      <w:r>
        <w:rPr>
          <w:rFonts w:hint="eastAsia" w:ascii="仿宋_GB2312" w:hAnsi="黑体" w:eastAsia="仿宋_GB2312"/>
          <w:color w:val="000000" w:themeColor="text1"/>
          <w:sz w:val="32"/>
          <w:szCs w:val="32"/>
          <w14:textFill>
            <w14:solidFill>
              <w14:schemeClr w14:val="tx1"/>
            </w14:solidFill>
          </w14:textFill>
        </w:rPr>
        <w:t>本单位项目申报内容与具体实施内容相符、申报目标合理可行。</w:t>
      </w:r>
    </w:p>
    <w:p>
      <w:pPr>
        <w:spacing w:line="560" w:lineRule="exact"/>
        <w:ind w:firstLine="643"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二、项目实施及管理情况</w:t>
      </w:r>
    </w:p>
    <w:p>
      <w:pPr>
        <w:spacing w:line="560" w:lineRule="exact"/>
        <w:ind w:firstLine="643" w:firstLineChars="200"/>
        <w:rPr>
          <w:rFonts w:ascii="仿宋_GB2312" w:hAnsi="黑体"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（一）资金计划、到位及使用情况</w:t>
      </w:r>
    </w:p>
    <w:p>
      <w:pPr>
        <w:spacing w:line="56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1.资金计划及到位。2</w:t>
      </w:r>
      <w:r>
        <w:rPr>
          <w:rFonts w:ascii="仿宋_GB2312" w:hAnsi="黑体" w:eastAsia="仿宋_GB2312"/>
          <w:color w:val="000000" w:themeColor="text1"/>
          <w:sz w:val="32"/>
          <w:szCs w:val="32"/>
          <w14:textFill>
            <w14:solidFill>
              <w14:schemeClr w14:val="tx1"/>
            </w14:solidFill>
          </w14:textFill>
        </w:rPr>
        <w:t>021年</w:t>
      </w:r>
      <w:r>
        <w:rPr>
          <w:rFonts w:hint="eastAsia" w:ascii="仿宋_GB2312" w:hAnsi="黑体" w:eastAsia="仿宋_GB2312"/>
          <w:color w:val="000000" w:themeColor="text1"/>
          <w:sz w:val="32"/>
          <w:szCs w:val="32"/>
          <w14:textFill>
            <w14:solidFill>
              <w14:schemeClr w14:val="tx1"/>
            </w14:solidFill>
          </w14:textFill>
        </w:rPr>
        <w:t>各项统计工作</w:t>
      </w:r>
      <w:r>
        <w:rPr>
          <w:rFonts w:ascii="仿宋_GB2312" w:hAnsi="黑体" w:eastAsia="仿宋_GB2312"/>
          <w:color w:val="000000" w:themeColor="text1"/>
          <w:sz w:val="32"/>
          <w:szCs w:val="32"/>
          <w14:textFill>
            <w14:solidFill>
              <w14:schemeClr w14:val="tx1"/>
            </w14:solidFill>
          </w14:textFill>
        </w:rPr>
        <w:t>专项经费</w:t>
      </w:r>
      <w:r>
        <w:rPr>
          <w:rFonts w:hint="eastAsia" w:ascii="仿宋_GB2312" w:hAnsi="黑体" w:eastAsia="仿宋_GB2312"/>
          <w:color w:val="000000" w:themeColor="text1"/>
          <w:sz w:val="32"/>
          <w:szCs w:val="32"/>
          <w14:textFill>
            <w14:solidFill>
              <w14:schemeClr w14:val="tx1"/>
            </w14:solidFill>
          </w14:textFill>
        </w:rPr>
        <w:t>资金计划</w:t>
      </w:r>
      <w:r>
        <w:rPr>
          <w:rFonts w:ascii="仿宋_GB2312" w:hAnsi="黑体" w:eastAsia="仿宋_GB2312"/>
          <w:color w:val="000000" w:themeColor="text1"/>
          <w:sz w:val="32"/>
          <w:szCs w:val="32"/>
          <w14:textFill>
            <w14:solidFill>
              <w14:schemeClr w14:val="tx1"/>
            </w14:solidFill>
          </w14:textFill>
        </w:rPr>
        <w:t>60.00万元。</w:t>
      </w:r>
      <w:r>
        <w:rPr>
          <w:rFonts w:hint="eastAsia" w:ascii="仿宋_GB2312" w:hAnsi="黑体" w:eastAsia="仿宋_GB2312"/>
          <w:color w:val="000000" w:themeColor="text1"/>
          <w:sz w:val="32"/>
          <w:szCs w:val="32"/>
          <w14:textFill>
            <w14:solidFill>
              <w14:schemeClr w14:val="tx1"/>
            </w14:solidFill>
          </w14:textFill>
        </w:rPr>
        <w:t>实际到位</w:t>
      </w:r>
      <w:r>
        <w:rPr>
          <w:rFonts w:ascii="仿宋_GB2312" w:hAnsi="黑体" w:eastAsia="仿宋_GB2312"/>
          <w:color w:val="000000" w:themeColor="text1"/>
          <w:sz w:val="32"/>
          <w:szCs w:val="32"/>
          <w14:textFill>
            <w14:solidFill>
              <w14:schemeClr w14:val="tx1"/>
            </w14:solidFill>
          </w14:textFill>
        </w:rPr>
        <w:t>60.00万元</w:t>
      </w:r>
      <w:r>
        <w:rPr>
          <w:rFonts w:hint="eastAsia" w:ascii="仿宋_GB2312" w:hAnsi="黑体" w:eastAsia="仿宋_GB2312"/>
          <w:color w:val="000000" w:themeColor="text1"/>
          <w:sz w:val="32"/>
          <w:szCs w:val="32"/>
          <w14:textFill>
            <w14:solidFill>
              <w14:schemeClr w14:val="tx1"/>
            </w14:solidFill>
          </w14:textFill>
        </w:rPr>
        <w:t>，资金到位率1</w:t>
      </w:r>
      <w:r>
        <w:rPr>
          <w:rFonts w:ascii="仿宋_GB2312" w:hAnsi="黑体" w:eastAsia="仿宋_GB2312"/>
          <w:color w:val="000000" w:themeColor="text1"/>
          <w:sz w:val="32"/>
          <w:szCs w:val="32"/>
          <w14:textFill>
            <w14:solidFill>
              <w14:schemeClr w14:val="tx1"/>
            </w14:solidFill>
          </w14:textFill>
        </w:rPr>
        <w:t>00%</w:t>
      </w:r>
      <w:r>
        <w:rPr>
          <w:rFonts w:hint="eastAsia" w:ascii="仿宋_GB2312" w:hAnsi="黑体" w:eastAsia="仿宋_GB2312"/>
          <w:color w:val="000000" w:themeColor="text1"/>
          <w:sz w:val="32"/>
          <w:szCs w:val="32"/>
          <w14:textFill>
            <w14:solidFill>
              <w14:schemeClr w14:val="tx1"/>
            </w14:solidFill>
          </w14:textFill>
        </w:rPr>
        <w:t>。</w:t>
      </w:r>
    </w:p>
    <w:p>
      <w:pPr>
        <w:spacing w:line="560" w:lineRule="exact"/>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2.资金使用。本项目资金的实际支出办公费费</w:t>
      </w:r>
      <w:r>
        <w:rPr>
          <w:rFonts w:ascii="仿宋_GB2312" w:hAnsi="黑体" w:eastAsia="仿宋_GB2312"/>
          <w:color w:val="000000" w:themeColor="text1"/>
          <w:sz w:val="32"/>
          <w:szCs w:val="32"/>
          <w14:textFill>
            <w14:solidFill>
              <w14:schemeClr w14:val="tx1"/>
            </w14:solidFill>
          </w14:textFill>
        </w:rPr>
        <w:t>14.36万元</w:t>
      </w:r>
      <w:r>
        <w:rPr>
          <w:rFonts w:hint="eastAsia" w:ascii="仿宋_GB2312" w:hAnsi="黑体" w:eastAsia="仿宋_GB2312"/>
          <w:color w:val="000000" w:themeColor="text1"/>
          <w:sz w:val="32"/>
          <w:szCs w:val="32"/>
          <w14:textFill>
            <w14:solidFill>
              <w14:schemeClr w14:val="tx1"/>
            </w14:solidFill>
          </w14:textFill>
        </w:rPr>
        <w:t>，差旅费1</w:t>
      </w:r>
      <w:r>
        <w:rPr>
          <w:rFonts w:ascii="仿宋_GB2312" w:hAnsi="黑体" w:eastAsia="仿宋_GB2312"/>
          <w:color w:val="000000" w:themeColor="text1"/>
          <w:sz w:val="32"/>
          <w:szCs w:val="32"/>
          <w14:textFill>
            <w14:solidFill>
              <w14:schemeClr w14:val="tx1"/>
            </w14:solidFill>
          </w14:textFill>
        </w:rPr>
        <w:t>3.84万元，培训费</w:t>
      </w:r>
      <w:r>
        <w:rPr>
          <w:rFonts w:hint="eastAsia" w:ascii="仿宋_GB2312" w:hAnsi="黑体" w:eastAsia="仿宋_GB2312"/>
          <w:color w:val="000000" w:themeColor="text1"/>
          <w:sz w:val="32"/>
          <w:szCs w:val="32"/>
          <w14:textFill>
            <w14:solidFill>
              <w14:schemeClr w14:val="tx1"/>
            </w14:solidFill>
          </w14:textFill>
        </w:rPr>
        <w:t>3</w:t>
      </w:r>
      <w:r>
        <w:rPr>
          <w:rFonts w:ascii="仿宋_GB2312" w:hAnsi="黑体" w:eastAsia="仿宋_GB2312"/>
          <w:color w:val="000000" w:themeColor="text1"/>
          <w:sz w:val="32"/>
          <w:szCs w:val="32"/>
          <w14:textFill>
            <w14:solidFill>
              <w14:schemeClr w14:val="tx1"/>
            </w14:solidFill>
          </w14:textFill>
        </w:rPr>
        <w:t>.08万元，公务用车运行维护费</w:t>
      </w:r>
      <w:r>
        <w:rPr>
          <w:rFonts w:hint="eastAsia" w:ascii="仿宋_GB2312" w:hAnsi="黑体" w:eastAsia="仿宋_GB2312"/>
          <w:color w:val="000000" w:themeColor="text1"/>
          <w:sz w:val="32"/>
          <w:szCs w:val="32"/>
          <w14:textFill>
            <w14:solidFill>
              <w14:schemeClr w14:val="tx1"/>
            </w14:solidFill>
          </w14:textFill>
        </w:rPr>
        <w:t>3</w:t>
      </w:r>
      <w:r>
        <w:rPr>
          <w:rFonts w:ascii="仿宋_GB2312" w:hAnsi="黑体" w:eastAsia="仿宋_GB2312"/>
          <w:color w:val="000000" w:themeColor="text1"/>
          <w:sz w:val="32"/>
          <w:szCs w:val="32"/>
          <w14:textFill>
            <w14:solidFill>
              <w14:schemeClr w14:val="tx1"/>
            </w14:solidFill>
          </w14:textFill>
        </w:rPr>
        <w:t>.48万元，劳务费</w:t>
      </w:r>
      <w:r>
        <w:rPr>
          <w:rFonts w:hint="eastAsia" w:ascii="仿宋_GB2312" w:hAnsi="黑体" w:eastAsia="仿宋_GB2312"/>
          <w:color w:val="000000" w:themeColor="text1"/>
          <w:sz w:val="32"/>
          <w:szCs w:val="32"/>
          <w14:textFill>
            <w14:solidFill>
              <w14:schemeClr w14:val="tx1"/>
            </w14:solidFill>
          </w14:textFill>
        </w:rPr>
        <w:t>1</w:t>
      </w:r>
      <w:r>
        <w:rPr>
          <w:rFonts w:ascii="仿宋_GB2312" w:hAnsi="黑体" w:eastAsia="仿宋_GB2312"/>
          <w:color w:val="000000" w:themeColor="text1"/>
          <w:sz w:val="32"/>
          <w:szCs w:val="32"/>
          <w14:textFill>
            <w14:solidFill>
              <w14:schemeClr w14:val="tx1"/>
            </w14:solidFill>
          </w14:textFill>
        </w:rPr>
        <w:t>7.20万元，邮电费</w:t>
      </w:r>
      <w:r>
        <w:rPr>
          <w:rFonts w:hint="eastAsia" w:ascii="仿宋_GB2312" w:hAnsi="黑体" w:eastAsia="仿宋_GB2312"/>
          <w:color w:val="000000" w:themeColor="text1"/>
          <w:sz w:val="32"/>
          <w:szCs w:val="32"/>
          <w14:textFill>
            <w14:solidFill>
              <w14:schemeClr w14:val="tx1"/>
            </w14:solidFill>
          </w14:textFill>
        </w:rPr>
        <w:t>8</w:t>
      </w:r>
      <w:r>
        <w:rPr>
          <w:rFonts w:ascii="仿宋_GB2312" w:hAnsi="黑体" w:eastAsia="仿宋_GB2312"/>
          <w:color w:val="000000" w:themeColor="text1"/>
          <w:sz w:val="32"/>
          <w:szCs w:val="32"/>
          <w14:textFill>
            <w14:solidFill>
              <w14:schemeClr w14:val="tx1"/>
            </w14:solidFill>
          </w14:textFill>
        </w:rPr>
        <w:t>.04万元。</w:t>
      </w:r>
      <w:r>
        <w:rPr>
          <w:rFonts w:hint="eastAsia" w:ascii="仿宋" w:hAnsi="仿宋" w:eastAsia="仿宋" w:cs="Times New Roman"/>
          <w:color w:val="000000" w:themeColor="text1"/>
          <w:sz w:val="32"/>
          <w:szCs w:val="32"/>
          <w14:textFill>
            <w14:solidFill>
              <w14:schemeClr w14:val="tx1"/>
            </w14:solidFill>
          </w14:textFill>
        </w:rPr>
        <w:t>专项资金的使用完全严格按照相关规定执行，符合专项资金使用相关规定，支出合规、合理、合法。</w:t>
      </w:r>
    </w:p>
    <w:p>
      <w:pPr>
        <w:spacing w:line="560" w:lineRule="exact"/>
        <w:ind w:firstLine="643" w:firstLineChars="200"/>
        <w:rPr>
          <w:rFonts w:ascii="仿宋_GB2312" w:hAnsi="黑体"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（二）项目财务管理情况</w:t>
      </w:r>
    </w:p>
    <w:p>
      <w:pPr>
        <w:adjustRightInd w:val="0"/>
        <w:spacing w:line="560" w:lineRule="exact"/>
        <w:ind w:firstLine="640" w:firstLineChars="200"/>
        <w:rPr>
          <w:rFonts w:ascii="仿宋" w:hAnsi="仿宋" w:eastAsia="仿宋" w:cs="Times New Roman"/>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本项目财务管理制度健全、机构设置合理、</w:t>
      </w:r>
      <w:r>
        <w:rPr>
          <w:rFonts w:hint="eastAsia" w:ascii="仿宋" w:hAnsi="仿宋" w:eastAsia="仿宋" w:cs="Times New Roman"/>
          <w:color w:val="000000" w:themeColor="text1"/>
          <w:sz w:val="32"/>
          <w:szCs w:val="32"/>
          <w14:textFill>
            <w14:solidFill>
              <w14:schemeClr w14:val="tx1"/>
            </w14:solidFill>
          </w14:textFill>
        </w:rPr>
        <w:t>专项资金设置、分配、管理、使用均严格按照专项资金使用规定执行，做到专款专用，严格把关资金使用，建立健全了专项资金的使用机制。会计核算及时。</w:t>
      </w:r>
    </w:p>
    <w:p>
      <w:pPr>
        <w:spacing w:line="560" w:lineRule="exact"/>
        <w:ind w:firstLine="643" w:firstLineChars="200"/>
        <w:rPr>
          <w:rFonts w:ascii="仿宋_GB2312" w:hAnsi="黑体"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（三）项目组织实施情况</w:t>
      </w:r>
    </w:p>
    <w:p>
      <w:pPr>
        <w:spacing w:line="560" w:lineRule="exact"/>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olor w:val="000000" w:themeColor="text1"/>
          <w:sz w:val="32"/>
          <w:szCs w:val="32"/>
          <w14:textFill>
            <w14:solidFill>
              <w14:schemeClr w14:val="tx1"/>
            </w14:solidFill>
          </w14:textFill>
        </w:rPr>
        <w:t>本项目由业务科室组织实施：首先在年初预算编制时按照实际需要提出需求，再提交局党组研究决定，最后由财务室汇总上报州财政局。</w:t>
      </w:r>
    </w:p>
    <w:p>
      <w:pPr>
        <w:spacing w:line="560" w:lineRule="exact"/>
        <w:ind w:firstLine="643"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b/>
          <w:bCs/>
          <w:color w:val="000000" w:themeColor="text1"/>
          <w:sz w:val="32"/>
          <w:szCs w:val="32"/>
          <w14:textFill>
            <w14:solidFill>
              <w14:schemeClr w14:val="tx1"/>
            </w14:solidFill>
          </w14:textFill>
        </w:rPr>
        <w:t>三、项目绩效情况</w:t>
      </w:r>
      <w:r>
        <w:rPr>
          <w:rFonts w:hint="eastAsia" w:ascii="黑体" w:hAnsi="黑体" w:eastAsia="黑体"/>
          <w:color w:val="000000" w:themeColor="text1"/>
          <w:sz w:val="32"/>
          <w:szCs w:val="32"/>
          <w14:textFill>
            <w14:solidFill>
              <w14:schemeClr w14:val="tx1"/>
            </w14:solidFill>
          </w14:textFill>
        </w:rPr>
        <w:tab/>
      </w:r>
    </w:p>
    <w:p>
      <w:pPr>
        <w:pStyle w:val="11"/>
        <w:spacing w:line="560" w:lineRule="exact"/>
        <w:ind w:firstLine="643"/>
        <w:rPr>
          <w:rFonts w:ascii="仿宋_GB2312" w:hAnsi="黑体"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（一）项目完成情况</w:t>
      </w:r>
    </w:p>
    <w:p>
      <w:pPr>
        <w:pStyle w:val="6"/>
        <w:spacing w:line="560" w:lineRule="exact"/>
        <w:ind w:firstLine="643" w:firstLineChars="200"/>
        <w:jc w:val="both"/>
        <w:rPr>
          <w:rFonts w:hint="default" w:eastAsia="仿宋_GB2312"/>
          <w:color w:val="000000" w:themeColor="text1"/>
          <w:sz w:val="32"/>
          <w:szCs w:val="32"/>
          <w14:textFill>
            <w14:solidFill>
              <w14:schemeClr w14:val="tx1"/>
            </w14:solidFill>
          </w14:textFill>
        </w:rPr>
      </w:pPr>
      <w:r>
        <w:rPr>
          <w:rFonts w:ascii="楷体_GB2312" w:hAnsi="楷体_GB2312" w:eastAsia="楷体_GB2312" w:cs="楷体_GB2312"/>
          <w:b/>
          <w:bCs/>
          <w:color w:val="000000" w:themeColor="text1"/>
          <w:sz w:val="32"/>
          <w:szCs w:val="32"/>
          <w14:textFill>
            <w14:solidFill>
              <w14:schemeClr w14:val="tx1"/>
            </w14:solidFill>
          </w14:textFill>
        </w:rPr>
        <w:t>1</w:t>
      </w:r>
      <w:r>
        <w:rPr>
          <w:rFonts w:hint="default" w:ascii="楷体_GB2312" w:hAnsi="楷体_GB2312" w:eastAsia="楷体_GB2312" w:cs="楷体_GB2312"/>
          <w:b/>
          <w:bCs/>
          <w:color w:val="000000" w:themeColor="text1"/>
          <w:sz w:val="32"/>
          <w:szCs w:val="32"/>
          <w14:textFill>
            <w14:solidFill>
              <w14:schemeClr w14:val="tx1"/>
            </w14:solidFill>
          </w14:textFill>
        </w:rPr>
        <w:t>.</w:t>
      </w:r>
      <w:r>
        <w:rPr>
          <w:rFonts w:ascii="楷体_GB2312" w:hAnsi="楷体_GB2312" w:eastAsia="楷体_GB2312" w:cs="楷体_GB2312"/>
          <w:b/>
          <w:bCs/>
          <w:color w:val="000000" w:themeColor="text1"/>
          <w:sz w:val="32"/>
          <w:szCs w:val="32"/>
          <w14:textFill>
            <w14:solidFill>
              <w14:schemeClr w14:val="tx1"/>
            </w14:solidFill>
          </w14:textFill>
        </w:rPr>
        <w:t>以服务升级为目标，</w:t>
      </w:r>
      <w:r>
        <w:rPr>
          <w:rFonts w:ascii="方正楷体简体" w:hAnsi="方正楷体简体" w:eastAsia="方正楷体简体" w:cs="方正楷体简体"/>
          <w:b/>
          <w:bCs/>
          <w:color w:val="000000" w:themeColor="text1"/>
          <w:spacing w:val="2"/>
          <w:sz w:val="32"/>
          <w:szCs w:val="32"/>
          <w14:textFill>
            <w14:solidFill>
              <w14:schemeClr w14:val="tx1"/>
            </w14:solidFill>
          </w14:textFill>
        </w:rPr>
        <w:t>监测分析</w:t>
      </w:r>
      <w:r>
        <w:rPr>
          <w:rFonts w:ascii="楷体_GB2312" w:hAnsi="楷体_GB2312" w:eastAsia="楷体_GB2312" w:cs="楷体_GB2312"/>
          <w:b/>
          <w:bCs/>
          <w:color w:val="000000" w:themeColor="text1"/>
          <w:sz w:val="32"/>
          <w:szCs w:val="32"/>
          <w14:textFill>
            <w14:solidFill>
              <w14:schemeClr w14:val="tx1"/>
            </w14:solidFill>
          </w14:textFill>
        </w:rPr>
        <w:t>水平呈现新态势</w:t>
      </w:r>
      <w:r>
        <w:rPr>
          <w:rFonts w:ascii="楷体_GB2312" w:hAnsi="楷体_GB2312" w:eastAsia="楷体_GB2312" w:cs="楷体_GB2312"/>
          <w:bCs/>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紧紧围绕</w:t>
      </w:r>
      <w:r>
        <w:rPr>
          <w:rFonts w:ascii="仿宋_GB2312" w:eastAsia="仿宋_GB2312"/>
          <w:color w:val="000000" w:themeColor="text1"/>
          <w:sz w:val="32"/>
          <w:szCs w:val="32"/>
          <w14:textFill>
            <w14:solidFill>
              <w14:schemeClr w14:val="tx1"/>
            </w14:solidFill>
          </w14:textFill>
        </w:rPr>
        <w:t>州委州政府重大决策部署，对照“十四五”规划目标，加强经济运行分析监测预警，</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多维度优化统计服务工作，切实做到履职担当、为国调查、为民统计。</w:t>
      </w:r>
      <w:r>
        <w:rPr>
          <w:rFonts w:ascii="仿宋_GB2312" w:hAnsi="仿宋_GB2312" w:eastAsia="仿宋_GB2312" w:cs="仿宋_GB2312"/>
          <w:b/>
          <w:bCs/>
          <w:color w:val="000000" w:themeColor="text1"/>
          <w:sz w:val="32"/>
          <w:szCs w:val="32"/>
          <w:shd w:val="clear" w:color="auto" w:fill="FFFFFF"/>
          <w:lang w:bidi="ar"/>
          <w14:textFill>
            <w14:solidFill>
              <w14:schemeClr w14:val="tx1"/>
            </w14:solidFill>
          </w14:textFill>
        </w:rPr>
        <w:t>一是着力提升统计服务“精度”。</w:t>
      </w:r>
      <w:r>
        <w:rPr>
          <w:rFonts w:ascii="仿宋_GB2312" w:hAnsi="宋体" w:eastAsia="仿宋_GB2312"/>
          <w:color w:val="000000" w:themeColor="text1"/>
          <w:sz w:val="32"/>
          <w:szCs w:val="32"/>
          <w14:textFill>
            <w14:solidFill>
              <w14:schemeClr w14:val="tx1"/>
            </w14:solidFill>
          </w14:textFill>
        </w:rPr>
        <w:t>加强宏观经济分析和重点热点难点经济问题研究，</w:t>
      </w:r>
      <w:r>
        <w:rPr>
          <w:rFonts w:ascii="仿宋_GB2312" w:hAnsi="仿宋_GB2312" w:eastAsia="仿宋_GB2312" w:cs="仿宋_GB2312"/>
          <w:color w:val="000000" w:themeColor="text1"/>
          <w:sz w:val="32"/>
          <w:szCs w:val="32"/>
          <w14:textFill>
            <w14:solidFill>
              <w14:schemeClr w14:val="tx1"/>
            </w14:solidFill>
          </w14:textFill>
        </w:rPr>
        <w:t>深入基层生产一线开展经济运行调研，</w:t>
      </w:r>
      <w:r>
        <w:rPr>
          <w:rFonts w:ascii="仿宋" w:hAnsi="仿宋" w:eastAsia="仿宋" w:cs="仿宋"/>
          <w:color w:val="000000" w:themeColor="text1"/>
          <w:sz w:val="32"/>
          <w:szCs w:val="32"/>
          <w14:textFill>
            <w14:solidFill>
              <w14:schemeClr w14:val="tx1"/>
            </w14:solidFill>
          </w14:textFill>
        </w:rPr>
        <w:t>积极主动与发改、经信、商务等部门衔接沟通，</w:t>
      </w:r>
      <w:r>
        <w:rPr>
          <w:rFonts w:ascii="仿宋_GB2312" w:hAnsi="仿宋_GB2312" w:eastAsia="仿宋_GB2312" w:cs="仿宋_GB2312"/>
          <w:color w:val="000000" w:themeColor="text1"/>
          <w:sz w:val="32"/>
          <w:szCs w:val="32"/>
          <w14:textFill>
            <w14:solidFill>
              <w14:schemeClr w14:val="tx1"/>
            </w14:solidFill>
          </w14:textFill>
        </w:rPr>
        <w:t>开展月分析、季会商</w:t>
      </w:r>
      <w:r>
        <w:rPr>
          <w:rFonts w:ascii="仿宋" w:hAnsi="仿宋" w:eastAsia="仿宋" w:cs="仿宋"/>
          <w:color w:val="000000" w:themeColor="text1"/>
          <w:sz w:val="32"/>
          <w:szCs w:val="32"/>
          <w14:textFill>
            <w14:solidFill>
              <w14:schemeClr w14:val="tx1"/>
            </w14:solidFill>
          </w14:textFill>
        </w:rPr>
        <w:t>，</w:t>
      </w:r>
      <w:r>
        <w:rPr>
          <w:rFonts w:ascii="仿宋_GB2312" w:hAnsi="仿宋_GB2312" w:eastAsia="仿宋_GB2312" w:cs="仿宋_GB2312"/>
          <w:color w:val="000000" w:themeColor="text1"/>
          <w:sz w:val="32"/>
          <w:szCs w:val="32"/>
          <w14:textFill>
            <w14:solidFill>
              <w14:schemeClr w14:val="tx1"/>
            </w14:solidFill>
          </w14:textFill>
        </w:rPr>
        <w:t>研判经济运行中的新情况、新问题，把“死数据”变成“活情况”，</w:t>
      </w:r>
      <w:r>
        <w:rPr>
          <w:rFonts w:ascii="仿宋_GB2312" w:hAnsi="宋体" w:eastAsia="仿宋_GB2312"/>
          <w:color w:val="000000" w:themeColor="text1"/>
          <w:sz w:val="32"/>
          <w:szCs w:val="32"/>
          <w14:textFill>
            <w14:solidFill>
              <w14:schemeClr w14:val="tx1"/>
            </w14:solidFill>
          </w14:textFill>
        </w:rPr>
        <w:t>对趋势性、苗头性、全局性和潜在危机进行预测预</w:t>
      </w:r>
      <w:r>
        <w:rPr>
          <w:rFonts w:ascii="仿宋_GB2312" w:hAnsi="仿宋_GB2312" w:eastAsia="仿宋_GB2312" w:cs="仿宋_GB2312"/>
          <w:color w:val="000000" w:themeColor="text1"/>
          <w:sz w:val="32"/>
          <w:szCs w:val="32"/>
          <w14:textFill>
            <w14:solidFill>
              <w14:schemeClr w14:val="tx1"/>
            </w14:solidFill>
          </w14:textFill>
        </w:rPr>
        <w:t>判</w:t>
      </w:r>
      <w:r>
        <w:rPr>
          <w:rFonts w:ascii="仿宋_GB2312" w:hAnsi="宋体" w:eastAsia="仿宋_GB2312"/>
          <w:color w:val="000000" w:themeColor="text1"/>
          <w:sz w:val="32"/>
          <w:szCs w:val="32"/>
          <w14:textFill>
            <w14:solidFill>
              <w14:schemeClr w14:val="tx1"/>
            </w14:solidFill>
          </w14:textFill>
        </w:rPr>
        <w:t>，为做好“六稳”工作，落实“六保”任务提供及时准确预警分析，为奋力夺取全年目标完成贡献统计力量。</w:t>
      </w:r>
      <w:r>
        <w:rPr>
          <w:rFonts w:ascii="仿宋_GB2312" w:hAnsi="仿宋_GB2312" w:eastAsia="仿宋_GB2312" w:cs="仿宋_GB2312"/>
          <w:b/>
          <w:bCs/>
          <w:color w:val="000000" w:themeColor="text1"/>
          <w:sz w:val="32"/>
          <w:szCs w:val="32"/>
          <w:shd w:val="clear" w:color="auto" w:fill="FFFFFF"/>
          <w:lang w:bidi="ar"/>
          <w14:textFill>
            <w14:solidFill>
              <w14:schemeClr w14:val="tx1"/>
            </w14:solidFill>
          </w14:textFill>
        </w:rPr>
        <w:t>二是着力提升统计服务“广度”。</w:t>
      </w:r>
      <w:r>
        <w:rPr>
          <w:rFonts w:ascii="仿宋_GB2312" w:hAnsi="宋体" w:eastAsia="仿宋_GB2312"/>
          <w:color w:val="000000" w:themeColor="text1"/>
          <w:sz w:val="32"/>
          <w:szCs w:val="32"/>
          <w14:textFill>
            <w14:solidFill>
              <w14:schemeClr w14:val="tx1"/>
            </w14:solidFill>
          </w14:textFill>
        </w:rPr>
        <w:t>做精做细《统计月报》《甘孜州主要经济指标》《统计年鉴》等各类统计产品，定期召开经济运行形势新闻发布会，解读统计数据，回应社会关切。</w:t>
      </w:r>
      <w:r>
        <w:rPr>
          <w:rFonts w:ascii="仿宋_GB2312" w:hAnsi="仿宋_GB2312" w:eastAsia="仿宋_GB2312" w:cs="仿宋_GB2312"/>
          <w:color w:val="000000" w:themeColor="text1"/>
          <w:sz w:val="32"/>
          <w:szCs w:val="32"/>
          <w:shd w:val="clear" w:color="auto" w:fill="FFFFFF"/>
          <w:lang w:bidi="ar"/>
          <w14:textFill>
            <w14:solidFill>
              <w14:schemeClr w14:val="tx1"/>
            </w14:solidFill>
          </w14:textFill>
        </w:rPr>
        <w:t>2021年，共</w:t>
      </w:r>
      <w:r>
        <w:rPr>
          <w:rFonts w:ascii="仿宋_GB2312" w:hAnsi="仿宋_GB2312" w:eastAsia="仿宋_GB2312" w:cs="仿宋_GB2312"/>
          <w:color w:val="000000" w:themeColor="text1"/>
          <w:sz w:val="32"/>
          <w:szCs w:val="32"/>
          <w14:textFill>
            <w14:solidFill>
              <w14:schemeClr w14:val="tx1"/>
            </w14:solidFill>
          </w14:textFill>
        </w:rPr>
        <w:t>编撰《统计分析》</w:t>
      </w:r>
      <w:r>
        <w:rPr>
          <w:rFonts w:ascii="仿宋_GB2312" w:hAnsi="仿宋_GB2312" w:cs="仿宋_GB2312"/>
          <w:color w:val="000000" w:themeColor="text1"/>
          <w:sz w:val="32"/>
          <w:szCs w:val="32"/>
          <w14:textFill>
            <w14:solidFill>
              <w14:schemeClr w14:val="tx1"/>
            </w14:solidFill>
          </w14:textFill>
        </w:rPr>
        <w:t>3</w:t>
      </w:r>
      <w:r>
        <w:rPr>
          <w:rFonts w:hint="default" w:ascii="仿宋_GB2312" w:hAnsi="仿宋_GB2312" w:cs="仿宋_GB2312"/>
          <w:color w:val="000000" w:themeColor="text1"/>
          <w:sz w:val="32"/>
          <w:szCs w:val="32"/>
          <w14:textFill>
            <w14:solidFill>
              <w14:schemeClr w14:val="tx1"/>
            </w14:solidFill>
          </w14:textFill>
        </w:rPr>
        <w:t>7</w:t>
      </w:r>
      <w:r>
        <w:rPr>
          <w:rFonts w:ascii="仿宋_GB2312" w:hAnsi="仿宋_GB2312" w:eastAsia="仿宋_GB2312" w:cs="仿宋_GB2312"/>
          <w:color w:val="000000" w:themeColor="text1"/>
          <w:sz w:val="32"/>
          <w:szCs w:val="32"/>
          <w14:textFill>
            <w14:solidFill>
              <w14:schemeClr w14:val="tx1"/>
            </w14:solidFill>
          </w14:textFill>
        </w:rPr>
        <w:t>期、《统计专报》</w:t>
      </w:r>
      <w:r>
        <w:rPr>
          <w:rFonts w:ascii="仿宋_GB2312" w:hAnsi="仿宋_GB2312" w:cs="仿宋_GB2312"/>
          <w:color w:val="000000" w:themeColor="text1"/>
          <w:sz w:val="32"/>
          <w:szCs w:val="32"/>
          <w14:textFill>
            <w14:solidFill>
              <w14:schemeClr w14:val="tx1"/>
            </w14:solidFill>
          </w14:textFill>
        </w:rPr>
        <w:t>8</w:t>
      </w:r>
      <w:r>
        <w:rPr>
          <w:rFonts w:ascii="仿宋_GB2312" w:hAnsi="仿宋_GB2312" w:eastAsia="仿宋_GB2312" w:cs="仿宋_GB2312"/>
          <w:color w:val="000000" w:themeColor="text1"/>
          <w:sz w:val="32"/>
          <w:szCs w:val="32"/>
          <w14:textFill>
            <w14:solidFill>
              <w14:schemeClr w14:val="tx1"/>
            </w14:solidFill>
          </w14:textFill>
        </w:rPr>
        <w:t>期、《甘孜州主要经济指标》</w:t>
      </w:r>
      <w:r>
        <w:rPr>
          <w:rFonts w:hint="default" w:ascii="仿宋_GB2312" w:hAnsi="仿宋_GB2312" w:cs="仿宋_GB2312"/>
          <w:color w:val="000000" w:themeColor="text1"/>
          <w:sz w:val="32"/>
          <w:szCs w:val="32"/>
          <w14:textFill>
            <w14:solidFill>
              <w14:schemeClr w14:val="tx1"/>
            </w14:solidFill>
          </w14:textFill>
        </w:rPr>
        <w:t>10</w:t>
      </w:r>
      <w:r>
        <w:rPr>
          <w:rFonts w:ascii="仿宋_GB2312" w:hAnsi="仿宋_GB2312" w:eastAsia="仿宋_GB2312" w:cs="仿宋_GB2312"/>
          <w:color w:val="000000" w:themeColor="text1"/>
          <w:sz w:val="32"/>
          <w:szCs w:val="32"/>
          <w14:textFill>
            <w14:solidFill>
              <w14:schemeClr w14:val="tx1"/>
            </w14:solidFill>
          </w14:textFill>
        </w:rPr>
        <w:t>期、《甘孜统计月报》</w:t>
      </w:r>
      <w:r>
        <w:rPr>
          <w:rFonts w:hint="default" w:ascii="仿宋_GB2312" w:hAnsi="仿宋_GB2312" w:cs="仿宋_GB2312"/>
          <w:color w:val="000000" w:themeColor="text1"/>
          <w:sz w:val="32"/>
          <w:szCs w:val="32"/>
          <w14:textFill>
            <w14:solidFill>
              <w14:schemeClr w14:val="tx1"/>
            </w14:solidFill>
          </w14:textFill>
        </w:rPr>
        <w:t>10</w:t>
      </w:r>
      <w:r>
        <w:rPr>
          <w:rFonts w:ascii="仿宋_GB2312" w:hAnsi="仿宋_GB2312" w:eastAsia="仿宋_GB2312" w:cs="仿宋_GB2312"/>
          <w:color w:val="000000" w:themeColor="text1"/>
          <w:sz w:val="32"/>
          <w:szCs w:val="32"/>
          <w14:textFill>
            <w14:solidFill>
              <w14:schemeClr w14:val="tx1"/>
            </w14:solidFill>
          </w14:textFill>
        </w:rPr>
        <w:t>期，整理编辑了《建党100周年甘孜州经济社会发展成就》《“十三五”时期甘孜州区域经济发展分析》《“十三五”时期甘孜州社会和经济发展概述》等统计资料，上报省局和州委办州政府办统计信息</w:t>
      </w:r>
      <w:r>
        <w:rPr>
          <w:rFonts w:hint="default" w:ascii="仿宋_GB2312" w:hAnsi="仿宋_GB2312" w:cs="仿宋_GB2312"/>
          <w:color w:val="000000" w:themeColor="text1"/>
          <w:sz w:val="32"/>
          <w:szCs w:val="32"/>
          <w14:textFill>
            <w14:solidFill>
              <w14:schemeClr w14:val="tx1"/>
            </w14:solidFill>
          </w14:textFill>
        </w:rPr>
        <w:t>345</w:t>
      </w:r>
      <w:r>
        <w:rPr>
          <w:rFonts w:ascii="仿宋_GB2312" w:hAnsi="仿宋_GB2312" w:eastAsia="仿宋_GB2312" w:cs="仿宋_GB2312"/>
          <w:color w:val="000000" w:themeColor="text1"/>
          <w:sz w:val="32"/>
          <w:szCs w:val="32"/>
          <w14:textFill>
            <w14:solidFill>
              <w14:schemeClr w14:val="tx1"/>
            </w14:solidFill>
          </w14:textFill>
        </w:rPr>
        <w:t>篇，被州委州政府及新闻媒介、门户网站采纳信息达100余条，为各级各部门和社会公众提供统计信息和咨询1000余次。发布第七次人口普查主要数据公报（1-6）期，</w:t>
      </w:r>
      <w:r>
        <w:rPr>
          <w:rFonts w:ascii="仿宋_GB2312" w:hAnsi="宋体" w:eastAsia="仿宋_GB2312"/>
          <w:color w:val="000000" w:themeColor="text1"/>
          <w:sz w:val="32"/>
          <w:szCs w:val="32"/>
          <w14:textFill>
            <w14:solidFill>
              <w14:schemeClr w14:val="tx1"/>
            </w14:solidFill>
          </w14:textFill>
        </w:rPr>
        <w:t>开展了《</w:t>
      </w:r>
      <w:r>
        <w:rPr>
          <w:rFonts w:ascii="仿宋_GB2312" w:hAnsi="仿宋_GB2312" w:eastAsia="仿宋_GB2312" w:cs="仿宋_GB2312"/>
          <w:color w:val="000000" w:themeColor="text1"/>
          <w:sz w:val="32"/>
          <w:szCs w:val="32"/>
          <w14:textFill>
            <w14:solidFill>
              <w14:schemeClr w14:val="tx1"/>
            </w14:solidFill>
          </w14:textFill>
        </w:rPr>
        <w:t>甘孜州人口结构变化、影响及对策研究</w:t>
      </w:r>
      <w:r>
        <w:rPr>
          <w:rFonts w:ascii="仿宋_GB2312" w:hAnsi="宋体" w:eastAsia="仿宋_GB2312"/>
          <w:color w:val="000000" w:themeColor="text1"/>
          <w:sz w:val="32"/>
          <w:szCs w:val="32"/>
          <w14:textFill>
            <w14:solidFill>
              <w14:schemeClr w14:val="tx1"/>
            </w14:solidFill>
          </w14:textFill>
        </w:rPr>
        <w:t>》《甘孜州提高人口素质研究》《甘孜州人口流动与城镇化格局变化研究》等课题研究。</w:t>
      </w:r>
      <w:r>
        <w:rPr>
          <w:rFonts w:ascii="仿宋_GB2312" w:hAnsi="仿宋_GB2312" w:eastAsia="仿宋_GB2312" w:cs="仿宋_GB2312"/>
          <w:b/>
          <w:bCs/>
          <w:color w:val="000000" w:themeColor="text1"/>
          <w:sz w:val="32"/>
          <w:szCs w:val="32"/>
          <w:shd w:val="clear" w:color="auto" w:fill="FFFFFF"/>
          <w:lang w:bidi="ar"/>
          <w14:textFill>
            <w14:solidFill>
              <w14:schemeClr w14:val="tx1"/>
            </w14:solidFill>
          </w14:textFill>
        </w:rPr>
        <w:t>三是着力提升统计服务“深度”。</w:t>
      </w:r>
      <w:r>
        <w:rPr>
          <w:rFonts w:ascii="仿宋_GB2312" w:hAnsi="仿宋_GB2312" w:eastAsia="仿宋_GB2312" w:cs="仿宋_GB2312"/>
          <w:color w:val="000000" w:themeColor="text1"/>
          <w:kern w:val="2"/>
          <w:sz w:val="32"/>
          <w:szCs w:val="32"/>
          <w14:textFill>
            <w14:solidFill>
              <w14:schemeClr w14:val="tx1"/>
            </w14:solidFill>
          </w14:textFill>
        </w:rPr>
        <w:t>立足创建国家生态文明建设示范区定位，</w:t>
      </w:r>
      <w:r>
        <w:rPr>
          <w:rFonts w:eastAsia="仿宋_GB2312"/>
          <w:color w:val="000000" w:themeColor="text1"/>
          <w:sz w:val="32"/>
          <w:szCs w:val="32"/>
          <w14:textFill>
            <w14:solidFill>
              <w14:schemeClr w14:val="tx1"/>
            </w14:solidFill>
          </w14:textFill>
        </w:rPr>
        <w:t>围绕拓展</w:t>
      </w:r>
      <w:r>
        <w:rPr>
          <w:rFonts w:ascii="仿宋_GB2312" w:hAnsi="仿宋" w:eastAsia="仿宋_GB2312" w:cs="仿宋"/>
          <w:color w:val="000000" w:themeColor="text1"/>
          <w:sz w:val="32"/>
          <w:szCs w:val="32"/>
          <w:lang w:bidi="ar"/>
          <w14:textFill>
            <w14:solidFill>
              <w14:schemeClr w14:val="tx1"/>
            </w14:solidFill>
          </w14:textFill>
        </w:rPr>
        <w:t>巩固脱贫攻坚成果与乡村振兴有效衔接，开展了</w:t>
      </w:r>
      <w:r>
        <w:rPr>
          <w:rFonts w:ascii="仿宋_GB2312" w:hAnsi="仿宋_GB2312" w:eastAsia="仿宋_GB2312" w:cs="仿宋_GB2312"/>
          <w:color w:val="000000" w:themeColor="text1"/>
          <w:kern w:val="2"/>
          <w:sz w:val="32"/>
          <w:szCs w:val="32"/>
          <w:lang w:bidi="ar"/>
          <w14:textFill>
            <w14:solidFill>
              <w14:schemeClr w14:val="tx1"/>
            </w14:solidFill>
          </w14:textFill>
        </w:rPr>
        <w:t>乡村振兴战略统计监测，</w:t>
      </w:r>
      <w:r>
        <w:rPr>
          <w:rFonts w:eastAsia="仿宋_GB2312"/>
          <w:color w:val="000000" w:themeColor="text1"/>
          <w:sz w:val="32"/>
          <w:szCs w:val="32"/>
          <w14:textFill>
            <w14:solidFill>
              <w14:schemeClr w14:val="tx1"/>
            </w14:solidFill>
          </w14:textFill>
        </w:rPr>
        <w:t>组织实施全州节能降耗、单位</w:t>
      </w:r>
      <w:r>
        <w:rPr>
          <w:rFonts w:ascii="仿宋_GB2312" w:hAnsi="仿宋_GB2312" w:eastAsia="仿宋_GB2312" w:cs="仿宋_GB2312"/>
          <w:color w:val="000000" w:themeColor="text1"/>
          <w:sz w:val="32"/>
          <w:szCs w:val="32"/>
          <w14:textFill>
            <w14:solidFill>
              <w14:schemeClr w14:val="tx1"/>
            </w14:solidFill>
          </w14:textFill>
        </w:rPr>
        <w:t>GDP</w:t>
      </w:r>
      <w:r>
        <w:rPr>
          <w:rFonts w:eastAsia="仿宋_GB2312"/>
          <w:color w:val="000000" w:themeColor="text1"/>
          <w:sz w:val="32"/>
          <w:szCs w:val="32"/>
          <w14:textFill>
            <w14:solidFill>
              <w14:schemeClr w14:val="tx1"/>
            </w14:solidFill>
          </w14:textFill>
        </w:rPr>
        <w:t>能耗等生态环境保护指标数据的统计监测，配合有关部门做好川西北生态示范区建设水平评价工作，开展应对气候变化和重点工业企业水消费的监测工作，</w:t>
      </w:r>
      <w:r>
        <w:rPr>
          <w:rFonts w:ascii="仿宋_GB2312" w:eastAsia="仿宋_GB2312"/>
          <w:color w:val="000000" w:themeColor="text1"/>
          <w:sz w:val="32"/>
          <w:szCs w:val="32"/>
          <w14:textFill>
            <w14:solidFill>
              <w14:schemeClr w14:val="tx1"/>
            </w14:solidFill>
          </w14:textFill>
        </w:rPr>
        <w:t>开展对各县（市）绿色发展评价工作</w:t>
      </w:r>
      <w:r>
        <w:rPr>
          <w:rFonts w:eastAsia="仿宋_GB2312"/>
          <w:color w:val="000000" w:themeColor="text1"/>
          <w:sz w:val="32"/>
          <w:szCs w:val="32"/>
          <w14:textFill>
            <w14:solidFill>
              <w14:schemeClr w14:val="tx1"/>
            </w14:solidFill>
          </w14:textFill>
        </w:rPr>
        <w:t>等。积极</w:t>
      </w:r>
      <w:r>
        <w:rPr>
          <w:rFonts w:ascii="仿宋_GB2312" w:hAnsi="仿宋_GB2312" w:eastAsia="仿宋_GB2312" w:cs="仿宋_GB2312"/>
          <w:color w:val="000000" w:themeColor="text1"/>
          <w:kern w:val="2"/>
          <w:sz w:val="32"/>
          <w:szCs w:val="32"/>
          <w:lang w:bidi="ar"/>
          <w14:textFill>
            <w14:solidFill>
              <w14:schemeClr w14:val="tx1"/>
            </w14:solidFill>
          </w14:textFill>
        </w:rPr>
        <w:t>推进地区生产总值、资产负债表、自然资源资产负债表三大核算改革，探索开展“三新”经济统计监测。</w:t>
      </w:r>
      <w:r>
        <w:rPr>
          <w:rFonts w:ascii="仿宋_GB2312" w:hAnsi="Times New Roman" w:eastAsia="仿宋_GB2312"/>
          <w:color w:val="000000" w:themeColor="text1"/>
          <w:sz w:val="32"/>
          <w:szCs w:val="32"/>
          <w14:textFill>
            <w14:solidFill>
              <w14:schemeClr w14:val="tx1"/>
            </w14:solidFill>
          </w14:textFill>
        </w:rPr>
        <w:t>积极参与国家局《农村市场新情况与新问题》国家级重点研究项目，撰写了《</w:t>
      </w:r>
      <w:r>
        <w:rPr>
          <w:rFonts w:ascii="仿宋_GB2312" w:hAnsi="黑体" w:eastAsia="仿宋_GB2312"/>
          <w:color w:val="000000" w:themeColor="text1"/>
          <w:sz w:val="32"/>
          <w:szCs w:val="32"/>
          <w14:textFill>
            <w14:solidFill>
              <w14:schemeClr w14:val="tx1"/>
            </w14:solidFill>
          </w14:textFill>
        </w:rPr>
        <w:t>甘孜州关于虫草、松茸市场的调研报告》，</w:t>
      </w:r>
      <w:r>
        <w:rPr>
          <w:rFonts w:eastAsia="仿宋_GB2312"/>
          <w:color w:val="000000" w:themeColor="text1"/>
          <w:sz w:val="32"/>
          <w:szCs w:val="32"/>
          <w14:textFill>
            <w14:solidFill>
              <w14:schemeClr w14:val="tx1"/>
            </w14:solidFill>
          </w14:textFill>
        </w:rPr>
        <w:t>参与《四川农民共同富裕指标体系研究》课题实地调研，对建立四川农民共同富裕指标体系提出建议。</w:t>
      </w:r>
    </w:p>
    <w:p>
      <w:pPr>
        <w:pStyle w:val="2"/>
        <w:spacing w:after="0" w:line="560" w:lineRule="exact"/>
        <w:ind w:leftChars="0" w:firstLine="643"/>
        <w:rPr>
          <w:rFonts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2</w:t>
      </w:r>
      <w:r>
        <w:rPr>
          <w:rFonts w:ascii="楷体_GB2312" w:hAnsi="楷体_GB2312" w:eastAsia="楷体_GB2312" w:cs="楷体_GB2312"/>
          <w:b/>
          <w:bCs/>
          <w:color w:val="000000" w:themeColor="text1"/>
          <w:sz w:val="32"/>
          <w:szCs w:val="32"/>
          <w14:textFill>
            <w14:solidFill>
              <w14:schemeClr w14:val="tx1"/>
            </w14:solidFill>
          </w14:textFill>
        </w:rPr>
        <w:t>.</w:t>
      </w:r>
      <w:r>
        <w:rPr>
          <w:rFonts w:hint="eastAsia" w:ascii="楷体_GB2312" w:hAnsi="楷体_GB2312" w:eastAsia="楷体_GB2312" w:cs="楷体_GB2312"/>
          <w:b/>
          <w:bCs/>
          <w:color w:val="000000" w:themeColor="text1"/>
          <w:kern w:val="0"/>
          <w:sz w:val="32"/>
          <w:szCs w:val="32"/>
          <w14:textFill>
            <w14:solidFill>
              <w14:schemeClr w14:val="tx1"/>
            </w14:solidFill>
          </w14:textFill>
        </w:rPr>
        <w:t>以能力提升为目标，</w:t>
      </w:r>
      <w:r>
        <w:rPr>
          <w:rFonts w:hint="eastAsia" w:ascii="方正楷体简体" w:hAnsi="方正楷体简体" w:eastAsia="方正楷体简体" w:cs="方正楷体简体"/>
          <w:b/>
          <w:bCs/>
          <w:color w:val="000000" w:themeColor="text1"/>
          <w:spacing w:val="2"/>
          <w:sz w:val="32"/>
          <w:szCs w:val="32"/>
          <w14:textFill>
            <w14:solidFill>
              <w14:schemeClr w14:val="tx1"/>
            </w14:solidFill>
          </w14:textFill>
        </w:rPr>
        <w:t>统计基层基础</w:t>
      </w:r>
      <w:r>
        <w:rPr>
          <w:rFonts w:hint="eastAsia" w:ascii="楷体_GB2312" w:hAnsi="楷体_GB2312" w:eastAsia="楷体_GB2312" w:cs="楷体_GB2312"/>
          <w:b/>
          <w:bCs/>
          <w:color w:val="000000" w:themeColor="text1"/>
          <w:kern w:val="0"/>
          <w:sz w:val="32"/>
          <w:szCs w:val="32"/>
          <w14:textFill>
            <w14:solidFill>
              <w14:schemeClr w14:val="tx1"/>
            </w14:solidFill>
          </w14:textFill>
        </w:rPr>
        <w:t>实现新跨越。</w:t>
      </w:r>
      <w:r>
        <w:rPr>
          <w:rFonts w:hint="eastAsia" w:ascii="仿宋_GB2312" w:hAnsi="仿宋_GB2312" w:eastAsia="仿宋_GB2312" w:cs="仿宋_GB2312"/>
          <w:b/>
          <w:bCs/>
          <w:color w:val="000000" w:themeColor="text1"/>
          <w:sz w:val="32"/>
          <w:szCs w:val="32"/>
          <w:lang w:bidi="ar"/>
          <w14:textFill>
            <w14:solidFill>
              <w14:schemeClr w14:val="tx1"/>
            </w14:solidFill>
          </w14:textFill>
        </w:rPr>
        <w:t>一是深入推进“统计基层基础规范化建设年”活动。</w:t>
      </w:r>
      <w:r>
        <w:rPr>
          <w:rFonts w:hint="eastAsia" w:ascii="仿宋_GB2312" w:hAnsi="仿宋_GB2312" w:eastAsia="仿宋_GB2312" w:cs="仿宋_GB2312"/>
          <w:color w:val="000000" w:themeColor="text1"/>
          <w:sz w:val="32"/>
          <w:szCs w:val="32"/>
          <w14:textFill>
            <w14:solidFill>
              <w14:schemeClr w14:val="tx1"/>
            </w14:solidFill>
          </w14:textFill>
        </w:rPr>
        <w:t>制定印发《甘孜州“统计基层基础规范化建设年”活动实施方案》《甘孜州统计基层基础工作考核评价办法》《甘孜州统计基层基础规范化建设调研方案》等配套文件</w:t>
      </w:r>
      <w:r>
        <w:rPr>
          <w:rFonts w:ascii="仿宋_GB2312" w:hAnsi="仿宋_GB2312" w:eastAsia="仿宋_GB2312" w:cs="仿宋_GB2312"/>
          <w:color w:val="000000" w:themeColor="text1"/>
          <w:sz w:val="32"/>
          <w:szCs w:val="32"/>
          <w:lang w:val="e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将统计基层基础建设纳入全州统计工作目标进行管理，确保统计基层基础规范化建设年活动各项工作的顺利推进。今年来，</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局领导带队先后深入18个县（市）调研</w:t>
      </w:r>
      <w:r>
        <w:rPr>
          <w:rFonts w:hint="eastAsia" w:ascii="仿宋_GB2312" w:hAnsi="仿宋_GB2312" w:eastAsia="仿宋_GB2312" w:cs="仿宋_GB2312"/>
          <w:color w:val="000000" w:themeColor="text1"/>
          <w:sz w:val="32"/>
          <w:szCs w:val="32"/>
          <w14:textFill>
            <w14:solidFill>
              <w14:schemeClr w14:val="tx1"/>
            </w14:solidFill>
          </w14:textFill>
        </w:rPr>
        <w:t>走访39个乡镇、33个部门、56个企业（个体户、电商、产业园区和重点投资项目）</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，查找基层统计短板弱项，</w:t>
      </w:r>
      <w:r>
        <w:rPr>
          <w:rFonts w:hint="eastAsia" w:ascii="仿宋_GB2312" w:hAnsi="仿宋_GB2312" w:eastAsia="仿宋_GB2312" w:cs="仿宋_GB2312"/>
          <w:color w:val="000000" w:themeColor="text1"/>
          <w:sz w:val="32"/>
          <w:szCs w:val="32"/>
          <w14:textFill>
            <w14:solidFill>
              <w14:schemeClr w14:val="tx1"/>
            </w14:solidFill>
          </w14:textFill>
        </w:rPr>
        <w:t>聚焦问题抓落实，靶向施策促实效</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。同时，在康定、泸定、甘孜、炉霍等县指导打造统计基层基础规范化建设样板，形成可复制、可推广的经验，</w:t>
      </w:r>
      <w:r>
        <w:rPr>
          <w:rFonts w:hint="eastAsia" w:ascii="仿宋_GB2312" w:hAnsi="仿宋_GB2312" w:eastAsia="仿宋_GB2312" w:cs="仿宋_GB2312"/>
          <w:color w:val="000000" w:themeColor="text1"/>
          <w:sz w:val="32"/>
          <w:szCs w:val="32"/>
          <w14:textFill>
            <w14:solidFill>
              <w14:schemeClr w14:val="tx1"/>
            </w14:solidFill>
          </w14:textFill>
        </w:rPr>
        <w:t>全力推进我州统计基层基础规范化建设再上新台阶。</w:t>
      </w:r>
      <w:r>
        <w:rPr>
          <w:rFonts w:hint="eastAsia" w:ascii="仿宋_GB2312" w:hAnsi="仿宋_GB2312" w:eastAsia="仿宋_GB2312" w:cs="仿宋_GB2312"/>
          <w:b/>
          <w:bCs/>
          <w:color w:val="000000" w:themeColor="text1"/>
          <w:sz w:val="32"/>
          <w:szCs w:val="32"/>
          <w:lang w:bidi="ar"/>
          <w14:textFill>
            <w14:solidFill>
              <w14:schemeClr w14:val="tx1"/>
            </w14:solidFill>
          </w14:textFill>
        </w:rPr>
        <w:t>二是规范部门统计工作。</w:t>
      </w:r>
      <w:r>
        <w:rPr>
          <w:rFonts w:hint="eastAsia" w:ascii="仿宋_GB2312" w:hAnsi="仿宋_GB2312" w:eastAsia="仿宋_GB2312" w:cs="仿宋_GB2312"/>
          <w:color w:val="000000" w:themeColor="text1"/>
          <w:sz w:val="32"/>
          <w:szCs w:val="32"/>
          <w:lang w:bidi="ar"/>
          <w14:textFill>
            <w14:solidFill>
              <w14:schemeClr w14:val="tx1"/>
            </w14:solidFill>
          </w14:textFill>
        </w:rPr>
        <w:t>全面落实</w:t>
      </w:r>
      <w:r>
        <w:rPr>
          <w:rFonts w:hint="eastAsia" w:ascii="仿宋_GB2312" w:hAnsi="仿宋_GB2312" w:eastAsia="仿宋_GB2312" w:cs="仿宋_GB2312"/>
          <w:color w:val="000000" w:themeColor="text1"/>
          <w:kern w:val="0"/>
          <w:sz w:val="32"/>
          <w:szCs w:val="32"/>
          <w14:textFill>
            <w14:solidFill>
              <w14:schemeClr w14:val="tx1"/>
            </w14:solidFill>
          </w14:textFill>
        </w:rPr>
        <w:t>“管行业管就要统计，管统计就要管数据质量”责任要求，</w:t>
      </w:r>
      <w:r>
        <w:rPr>
          <w:rFonts w:hint="eastAsia" w:ascii="仿宋_GB2312" w:hAnsi="仿宋_GB2312" w:eastAsia="仿宋_GB2312" w:cs="仿宋_GB2312"/>
          <w:color w:val="000000" w:themeColor="text1"/>
          <w:sz w:val="32"/>
          <w:szCs w:val="32"/>
          <w:lang w:bidi="ar"/>
          <w14:textFill>
            <w14:solidFill>
              <w14:schemeClr w14:val="tx1"/>
            </w14:solidFill>
          </w14:textFill>
        </w:rPr>
        <w:t>深化部门统计工作规范化建设</w:t>
      </w:r>
      <w:r>
        <w:rPr>
          <w:rFonts w:hint="eastAsia" w:ascii="仿宋_GB2312" w:hAnsi="仿宋_GB2312" w:eastAsia="仿宋_GB2312" w:cs="仿宋_GB2312"/>
          <w:color w:val="000000" w:themeColor="text1"/>
          <w:sz w:val="32"/>
          <w:szCs w:val="32"/>
          <w14:textFill>
            <w14:solidFill>
              <w14:schemeClr w14:val="tx1"/>
            </w14:solidFill>
          </w14:textFill>
        </w:rPr>
        <w:t>，建立健全“分工合理、管理规范、优势互补、信息共享”机制，完善部门统计报表指标体系设置，推进</w:t>
      </w:r>
      <w:r>
        <w:rPr>
          <w:rFonts w:hint="eastAsia" w:ascii="仿宋_GB2312" w:hAnsi="仿宋_GB2312" w:eastAsia="仿宋_GB2312" w:cs="仿宋_GB2312"/>
          <w:color w:val="000000" w:themeColor="text1"/>
          <w:sz w:val="32"/>
          <w:szCs w:val="32"/>
          <w:lang w:bidi="ar"/>
          <w14:textFill>
            <w14:solidFill>
              <w14:schemeClr w14:val="tx1"/>
            </w14:solidFill>
          </w14:textFill>
        </w:rPr>
        <w:t>统计数据与部门行政记录资源共享机制建设，</w:t>
      </w:r>
      <w:r>
        <w:rPr>
          <w:rFonts w:hint="eastAsia" w:ascii="仿宋_GB2312" w:hAnsi="仿宋_GB2312" w:eastAsia="仿宋_GB2312" w:cs="仿宋_GB2312"/>
          <w:color w:val="000000" w:themeColor="text1"/>
          <w:sz w:val="32"/>
          <w:szCs w:val="32"/>
          <w14:textFill>
            <w14:solidFill>
              <w14:schemeClr w14:val="tx1"/>
            </w14:solidFill>
          </w14:textFill>
        </w:rPr>
        <w:t>确保部门统计工作有人管、有人干、有章循，杜绝“数出多门”、迟报、拒报、虚报和瞒报现象，确保统计数据的准确性、匹配性和支撑性。</w:t>
      </w:r>
      <w:r>
        <w:rPr>
          <w:rFonts w:hint="eastAsia" w:ascii="仿宋_GB2312" w:hAnsi="仿宋_GB2312" w:eastAsia="仿宋_GB2312" w:cs="仿宋_GB2312"/>
          <w:b/>
          <w:bCs/>
          <w:color w:val="000000" w:themeColor="text1"/>
          <w:sz w:val="32"/>
          <w:szCs w:val="32"/>
          <w:lang w:bidi="ar"/>
          <w14:textFill>
            <w14:solidFill>
              <w14:schemeClr w14:val="tx1"/>
            </w14:solidFill>
          </w14:textFill>
        </w:rPr>
        <w:t>三是优化统计信息化建设。</w:t>
      </w:r>
      <w:r>
        <w:rPr>
          <w:rFonts w:hint="eastAsia" w:ascii="仿宋_GB2312" w:hAnsi="仿宋_GB2312" w:eastAsia="仿宋_GB2312" w:cs="仿宋_GB2312"/>
          <w:color w:val="000000" w:themeColor="text1"/>
          <w:sz w:val="32"/>
          <w:szCs w:val="32"/>
          <w14:textFill>
            <w14:solidFill>
              <w14:schemeClr w14:val="tx1"/>
            </w14:solidFill>
          </w14:textFill>
        </w:rPr>
        <w:t>推动现代信息技术与统计业务的深度融合，不断提高统计工作的电子化网络化智能化水平，指导县级统计部门为乡镇（街道）统计站建立VPN账号。不断完善优化县级数据报送系统、网络视频系统和网络安全系统，积极推进办公自动化，通过设备升级、网络优化等实现与上级统计部门和乡镇街道通畅安全的网络连接。扎实推进骨干网络建设，实现州、县级统计数据填报更加便捷化。加强网络安全防护措施，开展全州统计系统内网终端漏洞扫描工作，及时排查存在的安全漏洞、隐患和突出问题，限期整改，确保统计信息系统和数据安全。</w:t>
      </w:r>
      <w:r>
        <w:rPr>
          <w:rFonts w:hint="eastAsia" w:ascii="仿宋_GB2312" w:hAnsi="仿宋_GB2312" w:eastAsia="仿宋_GB2312" w:cs="仿宋_GB2312"/>
          <w:b/>
          <w:color w:val="000000" w:themeColor="text1"/>
          <w:sz w:val="32"/>
          <w:szCs w:val="32"/>
          <w14:textFill>
            <w14:solidFill>
              <w14:schemeClr w14:val="tx1"/>
            </w14:solidFill>
          </w14:textFill>
        </w:rPr>
        <w:t>四是强化</w:t>
      </w:r>
      <w:r>
        <w:rPr>
          <w:rFonts w:hint="eastAsia" w:ascii="仿宋_GB2312" w:hAnsi="仿宋_GB2312" w:eastAsia="仿宋_GB2312" w:cs="仿宋_GB2312"/>
          <w:b/>
          <w:bCs/>
          <w:color w:val="000000" w:themeColor="text1"/>
          <w:sz w:val="32"/>
          <w:szCs w:val="32"/>
          <w14:textFill>
            <w14:solidFill>
              <w14:schemeClr w14:val="tx1"/>
            </w14:solidFill>
          </w14:textFill>
        </w:rPr>
        <w:t>业务指导力度。</w:t>
      </w:r>
      <w:r>
        <w:rPr>
          <w:rFonts w:hint="eastAsia" w:ascii="仿宋_GB2312" w:hAnsi="仿宋_GB2312" w:eastAsia="仿宋_GB2312" w:cs="仿宋_GB2312"/>
          <w:color w:val="000000" w:themeColor="text1"/>
          <w:sz w:val="32"/>
          <w:szCs w:val="32"/>
          <w14:textFill>
            <w14:solidFill>
              <w14:schemeClr w14:val="tx1"/>
            </w14:solidFill>
          </w14:textFill>
        </w:rPr>
        <w:t>针对基层统计人员变动频繁、业务素质较低等问题，及时了解掌握相关基层统计数据上报情况，收集梳理业务工作中存在的问题短板，采取以督代训、远程业务指导、跟班学习、集中培训等方式对各县（市）统计人员进行业务了培训、指导，进一步提升了基层统计人员的业务能力。2021年，各专业科室深入县（市）进行业务指导培训19次，远程业务指导180余次，</w:t>
      </w:r>
      <w:r>
        <w:rPr>
          <w:rFonts w:ascii="Times New Roman" w:hAnsi="Times New Roman" w:eastAsia="仿宋_GB2312"/>
          <w:color w:val="000000" w:themeColor="text1"/>
          <w:sz w:val="32"/>
          <w:szCs w:val="32"/>
          <w14:textFill>
            <w14:solidFill>
              <w14:schemeClr w14:val="tx1"/>
            </w14:solidFill>
          </w14:textFill>
        </w:rPr>
        <w:t>培训统计业务骨干</w:t>
      </w:r>
      <w:r>
        <w:rPr>
          <w:rFonts w:hint="eastAsia" w:ascii="仿宋_GB2312" w:hAnsi="仿宋_GB2312" w:eastAsia="仿宋_GB2312" w:cs="仿宋_GB2312"/>
          <w:color w:val="000000" w:themeColor="text1"/>
          <w:sz w:val="32"/>
          <w:szCs w:val="32"/>
          <w14:textFill>
            <w14:solidFill>
              <w14:schemeClr w14:val="tx1"/>
            </w14:solidFill>
          </w14:textFill>
        </w:rPr>
        <w:t>260</w:t>
      </w:r>
      <w:r>
        <w:rPr>
          <w:rFonts w:ascii="Times New Roman" w:hAnsi="Times New Roman" w:eastAsia="仿宋_GB2312"/>
          <w:color w:val="000000" w:themeColor="text1"/>
          <w:sz w:val="32"/>
          <w:szCs w:val="32"/>
          <w14:textFill>
            <w14:solidFill>
              <w14:schemeClr w14:val="tx1"/>
            </w14:solidFill>
          </w14:textFill>
        </w:rPr>
        <w:t>余人次</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解决县（市）业务疑难问询200余次。</w:t>
      </w:r>
    </w:p>
    <w:p>
      <w:pPr>
        <w:pStyle w:val="2"/>
        <w:spacing w:after="0" w:line="560" w:lineRule="exact"/>
        <w:ind w:leftChars="0" w:firstLine="640"/>
        <w:rPr>
          <w:rFonts w:eastAsia="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楷体_GB2312" w:hAnsi="楷体_GB2312" w:eastAsia="楷体_GB2312" w:cs="楷体_GB2312"/>
          <w:b/>
          <w:bCs/>
          <w:color w:val="000000" w:themeColor="text1"/>
          <w:kern w:val="0"/>
          <w:sz w:val="32"/>
          <w:szCs w:val="32"/>
          <w14:textFill>
            <w14:solidFill>
              <w14:schemeClr w14:val="tx1"/>
            </w14:solidFill>
          </w14:textFill>
        </w:rPr>
        <w:t>以依法治统为准绳，统计</w:t>
      </w:r>
      <w:r>
        <w:rPr>
          <w:rFonts w:hint="eastAsia" w:ascii="楷体_GB2312" w:hAnsi="楷体_GB2312" w:eastAsia="楷体_GB2312" w:cs="楷体_GB2312"/>
          <w:b/>
          <w:bCs/>
          <w:color w:val="000000" w:themeColor="text1"/>
          <w:sz w:val="32"/>
          <w:szCs w:val="32"/>
          <w14:textFill>
            <w14:solidFill>
              <w14:schemeClr w14:val="tx1"/>
            </w14:solidFill>
          </w14:textFill>
        </w:rPr>
        <w:t>数据质量跃上新台阶。</w:t>
      </w:r>
      <w:r>
        <w:rPr>
          <w:rFonts w:hint="eastAsia" w:ascii="仿宋_GB2312" w:hAnsi="仿宋_GB2312" w:eastAsia="仿宋_GB2312" w:cs="仿宋_GB2312"/>
          <w:b/>
          <w:bCs/>
          <w:color w:val="000000" w:themeColor="text1"/>
          <w:sz w:val="32"/>
          <w:szCs w:val="32"/>
          <w14:textFill>
            <w14:solidFill>
              <w14:schemeClr w14:val="tx1"/>
            </w14:solidFill>
          </w14:textFill>
        </w:rPr>
        <w:t>一是严格执行统计调查制度。</w:t>
      </w:r>
      <w:r>
        <w:rPr>
          <w:rFonts w:hint="eastAsia" w:ascii="仿宋_GB2312" w:hAnsi="仿宋_GB2312" w:eastAsia="仿宋_GB2312" w:cs="仿宋_GB2312"/>
          <w:color w:val="000000" w:themeColor="text1"/>
          <w:sz w:val="32"/>
          <w:szCs w:val="32"/>
          <w14:textFill>
            <w14:solidFill>
              <w14:schemeClr w14:val="tx1"/>
            </w14:solidFill>
          </w14:textFill>
        </w:rPr>
        <w:t>严格落实“一套表”数据质量检查的主体责任，加强联网直报企业动态管理，督促企业规范上报统计数据，企业网报率和直报率均达到100%。加强网报企业上报数据审核和查询，强化对企业异动数据的监测力度，严把源头数据质量关。</w:t>
      </w:r>
      <w:r>
        <w:rPr>
          <w:rFonts w:hint="eastAsia" w:ascii="仿宋_GB2312" w:hAnsi="仿宋_GB2312" w:eastAsia="仿宋_GB2312" w:cs="仿宋_GB2312"/>
          <w:color w:val="000000" w:themeColor="text1"/>
          <w:kern w:val="0"/>
          <w:sz w:val="32"/>
          <w:szCs w:val="32"/>
          <w14:textFill>
            <w14:solidFill>
              <w14:schemeClr w14:val="tx1"/>
            </w14:solidFill>
          </w14:textFill>
        </w:rPr>
        <w:t>修订完善数据质量审核评估办法，着力提高统计数据匹配性、完整性、真实性，指导基层统计单位、企业依法报数，做到“应入尽入，应统尽统”。</w:t>
      </w:r>
      <w:r>
        <w:rPr>
          <w:rFonts w:hint="eastAsia" w:ascii="仿宋" w:hAnsi="仿宋" w:eastAsia="仿宋" w:cs="宋体"/>
          <w:color w:val="000000" w:themeColor="text1"/>
          <w:kern w:val="0"/>
          <w:sz w:val="32"/>
          <w:szCs w:val="32"/>
          <w14:textFill>
            <w14:solidFill>
              <w14:schemeClr w14:val="tx1"/>
            </w14:solidFill>
          </w14:textFill>
        </w:rPr>
        <w:t>2</w:t>
      </w:r>
      <w:r>
        <w:rPr>
          <w:rFonts w:ascii="仿宋" w:hAnsi="仿宋" w:eastAsia="仿宋" w:cs="宋体"/>
          <w:color w:val="000000" w:themeColor="text1"/>
          <w:kern w:val="0"/>
          <w:sz w:val="32"/>
          <w:szCs w:val="32"/>
          <w14:textFill>
            <w14:solidFill>
              <w14:schemeClr w14:val="tx1"/>
            </w14:solidFill>
          </w14:textFill>
        </w:rPr>
        <w:t>021年</w:t>
      </w:r>
      <w:r>
        <w:rPr>
          <w:rFonts w:hint="eastAsia" w:ascii="仿宋" w:hAnsi="仿宋" w:eastAsia="仿宋" w:cs="宋体"/>
          <w:color w:val="000000" w:themeColor="text1"/>
          <w:kern w:val="0"/>
          <w:sz w:val="32"/>
          <w:szCs w:val="32"/>
          <w14:textFill>
            <w14:solidFill>
              <w14:schemeClr w14:val="tx1"/>
            </w14:solidFill>
          </w14:textFill>
        </w:rPr>
        <w:t>全州新开工项目统计入库564个，新增“四上”企业24户，变更13户，退出25户</w:t>
      </w:r>
      <w:r>
        <w:rPr>
          <w:rFonts w:hint="eastAsia" w:ascii="仿宋" w:hAnsi="仿宋" w:eastAsia="仿宋" w:cs="仿宋_GB2312"/>
          <w:color w:val="000000" w:themeColor="text1"/>
          <w:kern w:val="0"/>
          <w:sz w:val="32"/>
          <w:szCs w:val="32"/>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二是精心组织统计普法宣传。</w:t>
      </w:r>
      <w:r>
        <w:rPr>
          <w:rFonts w:hint="eastAsia" w:ascii="仿宋_GB2312" w:hAnsi="仿宋_GB2312" w:eastAsia="仿宋_GB2312" w:cs="仿宋_GB2312"/>
          <w:color w:val="000000" w:themeColor="text1"/>
          <w:sz w:val="32"/>
          <w:szCs w:val="32"/>
          <w14:textFill>
            <w14:solidFill>
              <w14:schemeClr w14:val="tx1"/>
            </w14:solidFill>
          </w14:textFill>
        </w:rPr>
        <w:t>切实</w:t>
      </w:r>
      <w:r>
        <w:rPr>
          <w:rFonts w:ascii="仿宋_GB2312" w:hAnsi="仿宋_GB2312" w:eastAsia="仿宋_GB2312" w:cs="仿宋_GB2312"/>
          <w:color w:val="000000" w:themeColor="text1"/>
          <w:sz w:val="32"/>
          <w:szCs w:val="32"/>
          <w14:textFill>
            <w14:solidFill>
              <w14:schemeClr w14:val="tx1"/>
            </w14:solidFill>
          </w14:textFill>
        </w:rPr>
        <w:t>强化统计普法宣传力度</w:t>
      </w:r>
      <w:r>
        <w:rPr>
          <w:rFonts w:hint="eastAsia" w:ascii="仿宋_GB2312" w:hAnsi="仿宋_GB2312" w:eastAsia="仿宋_GB2312" w:cs="仿宋_GB2312"/>
          <w:color w:val="000000" w:themeColor="text1"/>
          <w:sz w:val="32"/>
          <w:szCs w:val="32"/>
          <w14:textFill>
            <w14:solidFill>
              <w14:schemeClr w14:val="tx1"/>
            </w14:solidFill>
          </w14:textFill>
        </w:rPr>
        <w:t>，通过现场宣传、有奖竞答等形式，进一步提升社会公众对统计法纪法律法规知晓度，不断扩大统计法治宣传覆盖面和影响力，为全州统计工作开展营造良好的法治环境。2021</w:t>
      </w:r>
      <w:r>
        <w:rPr>
          <w:rFonts w:ascii="Times New Roman" w:hAnsi="Times New Roman" w:eastAsia="仿宋_GB2312"/>
          <w:color w:val="000000" w:themeColor="text1"/>
          <w:sz w:val="32"/>
          <w:szCs w:val="32"/>
          <w14:textFill>
            <w14:solidFill>
              <w14:schemeClr w14:val="tx1"/>
            </w14:solidFill>
          </w14:textFill>
        </w:rPr>
        <w:t>年</w:t>
      </w:r>
      <w:r>
        <w:rPr>
          <w:rFonts w:hint="eastAsia" w:ascii="Times New Roman" w:hAnsi="Times New Roman" w:eastAsia="仿宋_GB2312"/>
          <w:color w:val="000000" w:themeColor="text1"/>
          <w:sz w:val="32"/>
          <w:szCs w:val="32"/>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开展</w:t>
      </w:r>
      <w:r>
        <w:rPr>
          <w:rFonts w:hint="eastAsia" w:ascii="Times New Roman" w:hAnsi="Times New Roman" w:eastAsia="仿宋_GB2312"/>
          <w:color w:val="000000" w:themeColor="text1"/>
          <w:sz w:val="32"/>
          <w:szCs w:val="32"/>
          <w14:textFill>
            <w14:solidFill>
              <w14:schemeClr w14:val="tx1"/>
            </w14:solidFill>
          </w14:textFill>
        </w:rPr>
        <w:t>现场普法活动</w:t>
      </w: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场次</w:t>
      </w:r>
      <w:r>
        <w:rPr>
          <w:rFonts w:ascii="Times New Roman" w:hAnsi="Times New Roman" w:eastAsia="仿宋_GB2312"/>
          <w:color w:val="000000" w:themeColor="text1"/>
          <w:sz w:val="32"/>
          <w:szCs w:val="32"/>
          <w14:textFill>
            <w14:solidFill>
              <w14:schemeClr w14:val="tx1"/>
            </w14:solidFill>
          </w14:textFill>
        </w:rPr>
        <w:t>，参加人数</w:t>
      </w:r>
      <w:r>
        <w:rPr>
          <w:rFonts w:hint="eastAsia" w:ascii="仿宋_GB2312" w:hAnsi="仿宋_GB2312" w:eastAsia="仿宋_GB2312" w:cs="仿宋_GB2312"/>
          <w:color w:val="000000" w:themeColor="text1"/>
          <w:sz w:val="32"/>
          <w:szCs w:val="32"/>
          <w14:textFill>
            <w14:solidFill>
              <w14:schemeClr w14:val="tx1"/>
            </w14:solidFill>
          </w14:textFill>
        </w:rPr>
        <w:t>200</w:t>
      </w:r>
      <w:r>
        <w:rPr>
          <w:rFonts w:hint="eastAsia" w:ascii="Times New Roman" w:hAnsi="Times New Roman" w:eastAsia="仿宋_GB2312"/>
          <w:color w:val="000000" w:themeColor="text1"/>
          <w:sz w:val="32"/>
          <w:szCs w:val="32"/>
          <w14:textFill>
            <w14:solidFill>
              <w14:schemeClr w14:val="tx1"/>
            </w14:solidFill>
          </w14:textFill>
        </w:rPr>
        <w:t>余</w:t>
      </w:r>
      <w:r>
        <w:rPr>
          <w:rFonts w:ascii="Times New Roman" w:hAnsi="Times New Roman" w:eastAsia="仿宋_GB2312"/>
          <w:color w:val="000000" w:themeColor="text1"/>
          <w:sz w:val="32"/>
          <w:szCs w:val="32"/>
          <w14:textFill>
            <w14:solidFill>
              <w14:schemeClr w14:val="tx1"/>
            </w14:solidFill>
          </w14:textFill>
        </w:rPr>
        <w:t>人次，接受社会公众统计咨询</w:t>
      </w:r>
      <w:r>
        <w:rPr>
          <w:rFonts w:hint="eastAsia" w:ascii="仿宋_GB2312" w:hAnsi="仿宋_GB2312" w:eastAsia="仿宋_GB2312" w:cs="仿宋_GB2312"/>
          <w:color w:val="000000" w:themeColor="text1"/>
          <w:sz w:val="32"/>
          <w:szCs w:val="32"/>
          <w14:textFill>
            <w14:solidFill>
              <w14:schemeClr w14:val="tx1"/>
            </w14:solidFill>
          </w14:textFill>
        </w:rPr>
        <w:t>30余</w:t>
      </w:r>
      <w:r>
        <w:rPr>
          <w:rFonts w:ascii="Times New Roman" w:hAnsi="Times New Roman" w:eastAsia="仿宋_GB2312"/>
          <w:color w:val="000000" w:themeColor="text1"/>
          <w:sz w:val="32"/>
          <w:szCs w:val="32"/>
          <w14:textFill>
            <w14:solidFill>
              <w14:schemeClr w14:val="tx1"/>
            </w14:solidFill>
          </w14:textFill>
        </w:rPr>
        <w:t>人次</w:t>
      </w:r>
      <w:r>
        <w:rPr>
          <w:rFonts w:hint="eastAsia" w:ascii="Times New Roman" w:hAnsi="Times New Roman" w:eastAsia="仿宋_GB2312"/>
          <w:color w:val="000000" w:themeColor="text1"/>
          <w:sz w:val="32"/>
          <w:szCs w:val="32"/>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编印并发放各类法规宣传资料</w:t>
      </w:r>
      <w:r>
        <w:rPr>
          <w:rFonts w:hint="eastAsia" w:ascii="仿宋_GB2312" w:hAnsi="仿宋_GB2312" w:eastAsia="仿宋_GB2312" w:cs="仿宋_GB2312"/>
          <w:color w:val="000000" w:themeColor="text1"/>
          <w:sz w:val="32"/>
          <w:szCs w:val="32"/>
          <w14:textFill>
            <w14:solidFill>
              <w14:schemeClr w14:val="tx1"/>
            </w14:solidFill>
          </w14:textFill>
        </w:rPr>
        <w:t>2000</w:t>
      </w:r>
      <w:r>
        <w:rPr>
          <w:rFonts w:ascii="Times New Roman" w:hAnsi="Times New Roman" w:eastAsia="仿宋_GB2312"/>
          <w:color w:val="000000" w:themeColor="text1"/>
          <w:sz w:val="32"/>
          <w:szCs w:val="32"/>
          <w14:textFill>
            <w14:solidFill>
              <w14:schemeClr w14:val="tx1"/>
            </w14:solidFill>
          </w14:textFill>
        </w:rPr>
        <w:t>余份。</w:t>
      </w:r>
      <w:r>
        <w:rPr>
          <w:rFonts w:hint="eastAsia" w:eastAsia="仿宋_GB2312" w:cs="仿宋_GB2312"/>
          <w:b/>
          <w:bCs/>
          <w:color w:val="000000" w:themeColor="text1"/>
          <w:sz w:val="32"/>
          <w:szCs w:val="32"/>
          <w14:textFill>
            <w14:solidFill>
              <w14:schemeClr w14:val="tx1"/>
            </w14:solidFill>
          </w14:textFill>
        </w:rPr>
        <w:t>三是认真组织开展执法检查。</w:t>
      </w:r>
      <w:r>
        <w:rPr>
          <w:rFonts w:hint="eastAsia" w:ascii="仿宋_GB2312" w:hAnsi="Times New Roman" w:eastAsia="仿宋_GB2312"/>
          <w:color w:val="000000" w:themeColor="text1"/>
          <w:sz w:val="32"/>
          <w:szCs w:val="32"/>
          <w14:textFill>
            <w14:solidFill>
              <w14:schemeClr w14:val="tx1"/>
            </w14:solidFill>
          </w14:textFill>
        </w:rPr>
        <w:t>加强数据质量管控，健全基本数据评审机制和信息报送制度，对重点领域、行业、企业开展常规性检查，核查数据异常企业和投资项目。扎实</w:t>
      </w:r>
      <w:r>
        <w:rPr>
          <w:rFonts w:hint="eastAsia" w:ascii="仿宋_GB2312" w:hAnsi="仿宋_GB2312" w:eastAsia="仿宋_GB2312" w:cs="仿宋_GB2312"/>
          <w:color w:val="000000" w:themeColor="text1"/>
          <w:kern w:val="0"/>
          <w:sz w:val="32"/>
          <w:szCs w:val="32"/>
          <w14:textFill>
            <w14:solidFill>
              <w14:schemeClr w14:val="tx1"/>
            </w14:solidFill>
          </w14:textFill>
        </w:rPr>
        <w:t>开展“双随机”执法检查，推动“管行业就要管统计，管统计就要管数据质量”责任落实，</w:t>
      </w:r>
      <w:r>
        <w:rPr>
          <w:rFonts w:hint="eastAsia" w:ascii="仿宋_GB2312" w:hAnsi="宋体" w:eastAsia="仿宋_GB2312" w:cs="仿宋_GB2312"/>
          <w:color w:val="000000" w:themeColor="text1"/>
          <w:sz w:val="32"/>
          <w:szCs w:val="32"/>
          <w:shd w:val="clear" w:color="auto" w:fill="FFFFFF"/>
          <w14:textFill>
            <w14:solidFill>
              <w14:schemeClr w14:val="tx1"/>
            </w14:solidFill>
          </w14:textFill>
        </w:rPr>
        <w:t>坚决打击统计造假、弄虚作假，</w:t>
      </w:r>
      <w:r>
        <w:rPr>
          <w:rFonts w:hint="eastAsia" w:ascii="仿宋_GB2312" w:hAnsi="仿宋_GB2312" w:eastAsia="仿宋_GB2312" w:cs="仿宋_GB2312"/>
          <w:color w:val="000000" w:themeColor="text1"/>
          <w:kern w:val="0"/>
          <w:sz w:val="32"/>
          <w:szCs w:val="32"/>
          <w14:textFill>
            <w14:solidFill>
              <w14:schemeClr w14:val="tx1"/>
            </w14:solidFill>
          </w14:textFill>
        </w:rPr>
        <w:t>严惩统计违纪违法行为</w:t>
      </w:r>
      <w:r>
        <w:rPr>
          <w:rFonts w:hint="eastAsia" w:ascii="仿宋" w:hAnsi="仿宋" w:eastAsia="仿宋" w:cs="宋体"/>
          <w:color w:val="000000" w:themeColor="text1"/>
          <w:kern w:val="0"/>
          <w:sz w:val="32"/>
          <w:szCs w:val="32"/>
          <w14:textFill>
            <w14:solidFill>
              <w14:schemeClr w14:val="tx1"/>
            </w14:solidFill>
          </w14:textFill>
        </w:rPr>
        <w:t>，切实维护统计数据严肃性。</w:t>
      </w:r>
      <w:r>
        <w:rPr>
          <w:rFonts w:hint="eastAsia" w:ascii="仿宋_GB2312" w:hAnsi="仿宋_GB2312" w:eastAsia="仿宋_GB2312" w:cs="仿宋_GB2312"/>
          <w:color w:val="000000" w:themeColor="text1"/>
          <w:kern w:val="0"/>
          <w:sz w:val="32"/>
          <w:szCs w:val="32"/>
          <w14:textFill>
            <w14:solidFill>
              <w14:schemeClr w14:val="tx1"/>
            </w14:solidFill>
          </w14:textFill>
        </w:rPr>
        <w:t>2021年，对7个县共75家单位、企业、项目开展统计执法监督检查，对3家企业进行了处罚。</w:t>
      </w:r>
    </w:p>
    <w:p>
      <w:pPr>
        <w:spacing w:line="560" w:lineRule="exact"/>
        <w:ind w:firstLine="643" w:firstLineChars="200"/>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（二）项目效益情况</w:t>
      </w: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通过各业务科室的不懈努力，2021年各项统计工作圆满完成，并且取得了较好的成绩。为各级政府领导决策提供了强有力的决策依据。群众满意度达95%以上。实现了年初预定目标。</w:t>
      </w:r>
    </w:p>
    <w:p>
      <w:pPr>
        <w:spacing w:line="560" w:lineRule="exact"/>
        <w:ind w:firstLine="643" w:firstLineChars="200"/>
        <w:rPr>
          <w:rFonts w:ascii="黑体" w:hAnsi="黑体" w:eastAsia="黑体" w:cs="黑体"/>
          <w:b/>
          <w:bCs/>
          <w:color w:val="000000" w:themeColor="text1"/>
          <w:sz w:val="32"/>
          <w:szCs w:val="32"/>
          <w14:textFill>
            <w14:solidFill>
              <w14:schemeClr w14:val="tx1"/>
            </w14:solidFill>
          </w14:textFill>
        </w:rPr>
      </w:pPr>
      <w:r>
        <w:rPr>
          <w:rFonts w:hint="eastAsia" w:ascii="黑体" w:hAnsi="黑体" w:eastAsia="黑体" w:cs="黑体"/>
          <w:b/>
          <w:bCs/>
          <w:color w:val="000000" w:themeColor="text1"/>
          <w:sz w:val="32"/>
          <w:szCs w:val="32"/>
          <w14:textFill>
            <w14:solidFill>
              <w14:schemeClr w14:val="tx1"/>
            </w14:solidFill>
          </w14:textFill>
        </w:rPr>
        <w:t>四、问题及建议</w:t>
      </w:r>
    </w:p>
    <w:p>
      <w:pPr>
        <w:spacing w:line="560" w:lineRule="exact"/>
        <w:ind w:firstLine="643" w:firstLineChars="200"/>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（一）存在的问题</w:t>
      </w: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一是业务能力有待进一步提高。二是统计基层基础建设有待进一步加强。三是服务水平有待进一步提升。</w:t>
      </w:r>
    </w:p>
    <w:p>
      <w:pPr>
        <w:spacing w:line="560" w:lineRule="exact"/>
        <w:ind w:firstLine="643" w:firstLineChars="200"/>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（二）相关建议</w:t>
      </w:r>
    </w:p>
    <w:p>
      <w:pPr>
        <w:spacing w:line="56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加强业务学习，加大外出培训力度，进一步提高分析能力，进一步夯实基层基础，提高统计优质服务能力。</w:t>
      </w:r>
    </w:p>
    <w:p>
      <w:pPr>
        <w:spacing w:line="540" w:lineRule="exact"/>
        <w:ind w:firstLine="640" w:firstLineChars="200"/>
        <w:rPr>
          <w:rFonts w:hint="eastAsia" w:ascii="Calibri" w:hAnsi="Calibri" w:eastAsia="仿宋_GB2312"/>
          <w:sz w:val="32"/>
          <w:szCs w:val="32"/>
          <w:lang w:eastAsia="zh-CN"/>
        </w:rPr>
      </w:pPr>
    </w:p>
    <w:p>
      <w:pPr>
        <w:spacing w:line="540" w:lineRule="exact"/>
        <w:ind w:firstLine="640" w:firstLineChars="200"/>
        <w:rPr>
          <w:rFonts w:hint="eastAsia" w:ascii="Calibri" w:hAnsi="Calibri" w:eastAsia="仿宋_GB2312"/>
          <w:sz w:val="32"/>
          <w:szCs w:val="32"/>
          <w:lang w:eastAsia="zh-CN"/>
        </w:rPr>
      </w:pPr>
      <w:r>
        <w:rPr>
          <w:rFonts w:hint="eastAsia" w:ascii="Calibri" w:hAnsi="Calibri" w:eastAsia="仿宋_GB2312"/>
          <w:sz w:val="32"/>
          <w:szCs w:val="32"/>
          <w:lang w:eastAsia="zh-CN"/>
        </w:rPr>
        <w:t>附件：项目支出绩效目标自评表</w:t>
      </w:r>
    </w:p>
    <w:p>
      <w:pPr>
        <w:spacing w:line="560" w:lineRule="exact"/>
        <w:rPr>
          <w:rFonts w:ascii="仿宋_GB2312" w:hAnsi="仿宋_GB2312" w:eastAsia="仿宋_GB2312" w:cs="仿宋_GB2312"/>
          <w:color w:val="000000" w:themeColor="text1"/>
          <w:sz w:val="32"/>
          <w:szCs w:val="32"/>
          <w14:textFill>
            <w14:solidFill>
              <w14:schemeClr w14:val="tx1"/>
            </w14:solidFill>
          </w14:textFill>
        </w:rPr>
      </w:pPr>
    </w:p>
    <w:p>
      <w:pPr>
        <w:pStyle w:val="2"/>
        <w:ind w:left="420" w:firstLine="640"/>
        <w:rPr>
          <w:rFonts w:ascii="仿宋_GB2312" w:hAnsi="仿宋_GB2312" w:eastAsia="仿宋_GB2312" w:cs="仿宋_GB2312"/>
          <w:color w:val="000000" w:themeColor="text1"/>
          <w:sz w:val="32"/>
          <w:szCs w:val="32"/>
          <w14:textFill>
            <w14:solidFill>
              <w14:schemeClr w14:val="tx1"/>
            </w14:solidFill>
          </w14:textFill>
        </w:rPr>
      </w:pPr>
    </w:p>
    <w:p>
      <w:pPr>
        <w:pStyle w:val="2"/>
        <w:ind w:left="420" w:firstLine="640"/>
        <w:rPr>
          <w:rFonts w:ascii="仿宋_GB2312" w:hAnsi="仿宋_GB2312" w:eastAsia="仿宋_GB2312" w:cs="仿宋_GB2312"/>
          <w:color w:val="000000" w:themeColor="text1"/>
          <w:sz w:val="32"/>
          <w:szCs w:val="32"/>
          <w14:textFill>
            <w14:solidFill>
              <w14:schemeClr w14:val="tx1"/>
            </w14:solidFill>
          </w14:textFill>
        </w:rPr>
      </w:pPr>
    </w:p>
    <w:p>
      <w:pPr>
        <w:spacing w:line="56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甘孜藏族自治州统计局</w:t>
      </w:r>
    </w:p>
    <w:p>
      <w:pPr>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 xml:space="preserve">                              202</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月8</w:t>
      </w:r>
      <w:r>
        <w:rPr>
          <w:rFonts w:ascii="仿宋_GB2312" w:hAnsi="仿宋_GB2312" w:eastAsia="仿宋_GB2312" w:cs="仿宋_GB2312"/>
          <w:color w:val="000000" w:themeColor="text1"/>
          <w:sz w:val="32"/>
          <w:szCs w:val="32"/>
          <w14:textFill>
            <w14:solidFill>
              <w14:schemeClr w14:val="tx1"/>
            </w14:solidFill>
          </w14:textFill>
        </w:rPr>
        <w:t>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简体">
    <w:altName w:val="楷体_GB2312"/>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- 6 -</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- 6 -</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FB0"/>
    <w:rsid w:val="0004573C"/>
    <w:rsid w:val="000753EE"/>
    <w:rsid w:val="00085458"/>
    <w:rsid w:val="00085C0E"/>
    <w:rsid w:val="0017476E"/>
    <w:rsid w:val="001755B5"/>
    <w:rsid w:val="001C126E"/>
    <w:rsid w:val="0029457F"/>
    <w:rsid w:val="002C71DC"/>
    <w:rsid w:val="00330727"/>
    <w:rsid w:val="003535E7"/>
    <w:rsid w:val="00461A1E"/>
    <w:rsid w:val="004F4D37"/>
    <w:rsid w:val="00575125"/>
    <w:rsid w:val="005C3896"/>
    <w:rsid w:val="006F6C95"/>
    <w:rsid w:val="007621C3"/>
    <w:rsid w:val="007A5FB0"/>
    <w:rsid w:val="008009F6"/>
    <w:rsid w:val="00801DC0"/>
    <w:rsid w:val="008F4B40"/>
    <w:rsid w:val="00901803"/>
    <w:rsid w:val="009558D8"/>
    <w:rsid w:val="0097315B"/>
    <w:rsid w:val="009852EF"/>
    <w:rsid w:val="00A34896"/>
    <w:rsid w:val="00A407B5"/>
    <w:rsid w:val="00A4610E"/>
    <w:rsid w:val="00B567E8"/>
    <w:rsid w:val="00B75258"/>
    <w:rsid w:val="00C02801"/>
    <w:rsid w:val="00C406D7"/>
    <w:rsid w:val="00E1430D"/>
    <w:rsid w:val="00E54D68"/>
    <w:rsid w:val="00E60D88"/>
    <w:rsid w:val="00E80BC6"/>
    <w:rsid w:val="00E83916"/>
    <w:rsid w:val="00EC42B9"/>
    <w:rsid w:val="00F1311F"/>
    <w:rsid w:val="00F35D50"/>
    <w:rsid w:val="00FE5290"/>
    <w:rsid w:val="026B2CCC"/>
    <w:rsid w:val="1C2D5D49"/>
    <w:rsid w:val="6A700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link w:val="13"/>
    <w:qFormat/>
    <w:uiPriority w:val="0"/>
    <w:pPr>
      <w:ind w:left="0" w:firstLine="420" w:firstLineChars="200"/>
    </w:pPr>
    <w:rPr>
      <w:rFonts w:ascii="Calibri" w:hAnsi="Calibri" w:eastAsia="宋体" w:cs="Times New Roman"/>
      <w:szCs w:val="21"/>
    </w:rPr>
  </w:style>
  <w:style w:type="paragraph" w:styleId="3">
    <w:name w:val="Body Text Indent"/>
    <w:basedOn w:val="1"/>
    <w:link w:val="12"/>
    <w:semiHidden/>
    <w:unhideWhenUsed/>
    <w:qFormat/>
    <w:uiPriority w:val="99"/>
    <w:pPr>
      <w:spacing w:after="120"/>
      <w:ind w:left="420" w:leftChars="2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jc w:val="left"/>
    </w:pPr>
    <w:rPr>
      <w:rFonts w:hint="eastAsia" w:ascii="微软雅黑" w:hAnsi="微软雅黑" w:eastAsia="微软雅黑" w:cs="Times New Roman"/>
      <w:kern w:val="0"/>
      <w:sz w:val="24"/>
      <w:szCs w:val="21"/>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正文文本缩进 Char"/>
    <w:basedOn w:val="7"/>
    <w:link w:val="3"/>
    <w:semiHidden/>
    <w:qFormat/>
    <w:uiPriority w:val="99"/>
  </w:style>
  <w:style w:type="character" w:customStyle="1" w:styleId="13">
    <w:name w:val="正文首行缩进 2 Char"/>
    <w:basedOn w:val="12"/>
    <w:link w:val="2"/>
    <w:qFormat/>
    <w:uiPriority w:val="0"/>
    <w:rPr>
      <w:rFonts w:ascii="Calibri" w:hAnsi="Calibri" w:eastAsia="宋体"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A208BF-F479-4E9B-AF6E-E9B576022D23}">
  <ds:schemaRefs/>
</ds:datastoreItem>
</file>

<file path=docProps/app.xml><?xml version="1.0" encoding="utf-8"?>
<Properties xmlns="http://schemas.openxmlformats.org/officeDocument/2006/extended-properties" xmlns:vt="http://schemas.openxmlformats.org/officeDocument/2006/docPropsVTypes">
  <Template>Normal.dotm</Template>
  <Company>国家统计局</Company>
  <Pages>7</Pages>
  <Words>3512</Words>
  <Characters>3649</Characters>
  <Lines>26</Lines>
  <Paragraphs>7</Paragraphs>
  <TotalTime>0</TotalTime>
  <ScaleCrop>false</ScaleCrop>
  <LinksUpToDate>false</LinksUpToDate>
  <CharactersWithSpaces>3743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2022-03-04T07:57:00Z</dcterms:created>
  <dc:creator>办公室:袁国淑</dc:creator>
  <cp:lastModifiedBy>Administrator</cp:lastModifiedBy>
  <cp:lastPrinted>2022-03-09T07:19:00Z</cp:lastPrinted>
  <dcterms:modified xsi:type="dcterms:W3CDTF">2022-03-09T08:53:28Z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